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D8ACA" w14:textId="48A45D19" w:rsidR="008B6696" w:rsidRDefault="008B6696" w:rsidP="008B6696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b/>
          <w:noProof/>
          <w:color w:val="000000"/>
          <w:kern w:val="2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南市</w:t>
      </w:r>
      <w:r w:rsidR="000D322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</w:t>
      </w:r>
      <w:r w:rsidRPr="003B16E3">
        <w:rPr>
          <w:rFonts w:ascii="標楷體" w:eastAsia="標楷體" w:hAnsi="標楷體" w:hint="eastAsia"/>
          <w:b/>
          <w:color w:val="000000"/>
          <w:sz w:val="28"/>
          <w:szCs w:val="28"/>
        </w:rPr>
        <w:t>區</w:t>
      </w:r>
      <w:r w:rsidR="000D3227">
        <w:rPr>
          <w:rFonts w:ascii="標楷體" w:eastAsia="標楷體" w:hAnsi="標楷體" w:hint="eastAsia"/>
          <w:b/>
          <w:color w:val="000000"/>
          <w:sz w:val="28"/>
          <w:szCs w:val="28"/>
        </w:rPr>
        <w:t>日新</w:t>
      </w:r>
      <w:r w:rsidRPr="003B16E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國民小學</w:t>
      </w:r>
      <w:r w:rsidR="00E112E3">
        <w:rPr>
          <w:rFonts w:ascii="標楷體" w:eastAsia="標楷體" w:hAnsi="標楷體" w:cs="Times New Roman" w:hint="eastAsia"/>
          <w:b/>
          <w:noProof/>
          <w:color w:val="000000"/>
          <w:kern w:val="2"/>
          <w:sz w:val="28"/>
          <w:szCs w:val="28"/>
        </w:rPr>
        <w:t>控制作業</w:t>
      </w:r>
      <w:r w:rsidRPr="003B16E3">
        <w:rPr>
          <w:rFonts w:ascii="標楷體" w:eastAsia="標楷體" w:hAnsi="標楷體" w:cs="Times New Roman" w:hint="eastAsia"/>
          <w:b/>
          <w:noProof/>
          <w:color w:val="000000"/>
          <w:kern w:val="2"/>
          <w:sz w:val="28"/>
          <w:szCs w:val="28"/>
        </w:rPr>
        <w:t>自行評估表</w:t>
      </w:r>
    </w:p>
    <w:p w14:paraId="16225C20" w14:textId="29FC3DBD" w:rsidR="008004DF" w:rsidRPr="003B16E3" w:rsidRDefault="008004DF" w:rsidP="008B6696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b/>
          <w:noProof/>
          <w:color w:val="000000"/>
          <w:kern w:val="2"/>
          <w:sz w:val="28"/>
          <w:szCs w:val="28"/>
        </w:rPr>
      </w:pPr>
      <w:r w:rsidRPr="008004DF">
        <w:rPr>
          <w:rFonts w:ascii="標楷體" w:eastAsia="標楷體" w:hAnsi="標楷體" w:cs="Times New Roman" w:hint="eastAsia"/>
          <w:b/>
          <w:noProof/>
          <w:color w:val="000000"/>
          <w:kern w:val="2"/>
          <w:sz w:val="28"/>
          <w:szCs w:val="28"/>
          <w:u w:val="single"/>
        </w:rPr>
        <w:t>1</w:t>
      </w:r>
      <w:r w:rsidR="00C22AAB">
        <w:rPr>
          <w:rFonts w:ascii="標楷體" w:eastAsia="標楷體" w:hAnsi="標楷體" w:cs="Times New Roman" w:hint="eastAsia"/>
          <w:b/>
          <w:noProof/>
          <w:color w:val="000000"/>
          <w:kern w:val="2"/>
          <w:sz w:val="28"/>
          <w:szCs w:val="28"/>
          <w:u w:val="single"/>
        </w:rPr>
        <w:t>1</w:t>
      </w:r>
      <w:r w:rsidR="000D3227">
        <w:rPr>
          <w:rFonts w:ascii="標楷體" w:eastAsia="標楷體" w:hAnsi="標楷體" w:cs="Times New Roman" w:hint="eastAsia"/>
          <w:b/>
          <w:noProof/>
          <w:color w:val="000000"/>
          <w:kern w:val="2"/>
          <w:sz w:val="28"/>
          <w:szCs w:val="28"/>
          <w:u w:val="single"/>
        </w:rPr>
        <w:t>4</w:t>
      </w:r>
      <w:r>
        <w:rPr>
          <w:rFonts w:ascii="標楷體" w:eastAsia="標楷體" w:hAnsi="標楷體" w:cs="Times New Roman" w:hint="eastAsia"/>
          <w:b/>
          <w:noProof/>
          <w:color w:val="000000"/>
          <w:kern w:val="2"/>
          <w:sz w:val="28"/>
          <w:szCs w:val="28"/>
        </w:rPr>
        <w:t>年度</w:t>
      </w:r>
    </w:p>
    <w:p w14:paraId="3F34EAF4" w14:textId="49F5C4CE" w:rsidR="008B6696" w:rsidRPr="003B16E3" w:rsidRDefault="008B6696" w:rsidP="008B6696">
      <w:pPr>
        <w:pStyle w:val="Web"/>
        <w:spacing w:before="0" w:beforeAutospacing="0" w:after="0" w:afterAutospacing="0" w:line="360" w:lineRule="exact"/>
        <w:ind w:leftChars="-22" w:left="408" w:hangingChars="192" w:hanging="461"/>
        <w:rPr>
          <w:rFonts w:ascii="標楷體" w:eastAsia="標楷體" w:hAnsi="標楷體" w:cs="Times New Roman"/>
          <w:color w:val="000000"/>
          <w:kern w:val="2"/>
          <w:u w:val="single"/>
        </w:rPr>
      </w:pPr>
      <w:r w:rsidRPr="003B16E3">
        <w:rPr>
          <w:rFonts w:ascii="標楷體" w:eastAsia="標楷體" w:hAnsi="標楷體" w:cs="Times New Roman" w:hint="eastAsia"/>
          <w:color w:val="000000"/>
          <w:kern w:val="2"/>
        </w:rPr>
        <w:t>評估單位：</w:t>
      </w:r>
      <w:r w:rsidRPr="003B16E3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會</w:t>
      </w:r>
      <w:r w:rsidRPr="003B16E3">
        <w:rPr>
          <w:rFonts w:ascii="標楷體" w:eastAsia="標楷體" w:hAnsi="標楷體" w:cs="Times New Roman" w:hint="eastAsia"/>
          <w:color w:val="000000"/>
          <w:kern w:val="2"/>
          <w:u w:val="single"/>
        </w:rPr>
        <w:t>計單位</w:t>
      </w:r>
    </w:p>
    <w:p w14:paraId="39CC5A73" w14:textId="77777777" w:rsidR="00E112E3" w:rsidRDefault="008B6696" w:rsidP="008B6696">
      <w:pPr>
        <w:pStyle w:val="Web"/>
        <w:spacing w:before="0" w:beforeAutospacing="0" w:after="0" w:afterAutospacing="0" w:line="280" w:lineRule="exact"/>
        <w:ind w:leftChars="-22" w:left="408" w:hangingChars="192" w:hanging="461"/>
        <w:rPr>
          <w:rFonts w:ascii="標楷體" w:eastAsia="標楷體" w:hAnsi="標楷體" w:cs="Times New Roman"/>
          <w:color w:val="000000"/>
          <w:kern w:val="2"/>
        </w:rPr>
      </w:pPr>
      <w:r w:rsidRPr="003B16E3">
        <w:rPr>
          <w:rFonts w:ascii="標楷體" w:eastAsia="標楷體" w:hAnsi="標楷體" w:cs="Times New Roman" w:hint="eastAsia"/>
          <w:color w:val="000000"/>
          <w:kern w:val="2"/>
        </w:rPr>
        <w:t>作業類別(項目)：</w:t>
      </w:r>
      <w:r w:rsidRPr="003B16E3">
        <w:rPr>
          <w:rFonts w:ascii="標楷體" w:eastAsia="標楷體" w:hAnsi="標楷體" w:cs="Times New Roman" w:hint="eastAsia"/>
          <w:noProof/>
          <w:color w:val="000000"/>
          <w:kern w:val="2"/>
          <w:u w:val="single"/>
        </w:rPr>
        <w:t>採購案件審核及監辦作業</w:t>
      </w:r>
      <w:r w:rsidR="00A32E05">
        <w:rPr>
          <w:rFonts w:ascii="標楷體" w:eastAsia="標楷體" w:hAnsi="標楷體" w:cs="Times New Roman" w:hint="eastAsia"/>
          <w:color w:val="000000"/>
          <w:kern w:val="2"/>
        </w:rPr>
        <w:t xml:space="preserve"> </w:t>
      </w:r>
    </w:p>
    <w:p w14:paraId="6C265660" w14:textId="0E8DFE66" w:rsidR="008B6696" w:rsidRPr="003B16E3" w:rsidRDefault="00E112E3" w:rsidP="008B6696">
      <w:pPr>
        <w:pStyle w:val="Web"/>
        <w:spacing w:before="0" w:beforeAutospacing="0" w:after="0" w:afterAutospacing="0" w:line="280" w:lineRule="exact"/>
        <w:ind w:leftChars="-22" w:left="408" w:hangingChars="192" w:hanging="461"/>
        <w:rPr>
          <w:color w:val="000000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/>
          <w:kern w:val="2"/>
        </w:rPr>
        <w:t>評估期間：11</w:t>
      </w:r>
      <w:r w:rsidR="000D3227">
        <w:rPr>
          <w:rFonts w:ascii="標楷體" w:eastAsia="標楷體" w:hAnsi="標楷體" w:cs="Times New Roman" w:hint="eastAsia"/>
          <w:color w:val="000000"/>
          <w:kern w:val="2"/>
        </w:rPr>
        <w:t>3</w:t>
      </w:r>
      <w:r>
        <w:rPr>
          <w:rFonts w:ascii="標楷體" w:eastAsia="標楷體" w:hAnsi="標楷體" w:cs="Times New Roman" w:hint="eastAsia"/>
          <w:color w:val="000000"/>
          <w:kern w:val="2"/>
        </w:rPr>
        <w:t>年8月1日至11</w:t>
      </w:r>
      <w:r w:rsidR="000D3227">
        <w:rPr>
          <w:rFonts w:ascii="標楷體" w:eastAsia="標楷體" w:hAnsi="標楷體" w:cs="Times New Roman" w:hint="eastAsia"/>
          <w:color w:val="000000"/>
          <w:kern w:val="2"/>
        </w:rPr>
        <w:t>4</w:t>
      </w:r>
      <w:r>
        <w:rPr>
          <w:rFonts w:ascii="標楷體" w:eastAsia="標楷體" w:hAnsi="標楷體" w:cs="Times New Roman" w:hint="eastAsia"/>
          <w:color w:val="000000"/>
          <w:kern w:val="2"/>
        </w:rPr>
        <w:t>年7月31日</w:t>
      </w:r>
      <w:r w:rsidR="00A32E05">
        <w:rPr>
          <w:rFonts w:ascii="標楷體" w:eastAsia="標楷體" w:hAnsi="標楷體" w:cs="Times New Roman" w:hint="eastAsia"/>
          <w:color w:val="000000"/>
          <w:kern w:val="2"/>
        </w:rPr>
        <w:t xml:space="preserve">               </w:t>
      </w:r>
      <w:r w:rsidR="008B6696" w:rsidRPr="003B16E3">
        <w:rPr>
          <w:rFonts w:ascii="標楷體" w:eastAsia="標楷體" w:hAnsi="標楷體" w:cs="Times New Roman" w:hint="eastAsia"/>
          <w:color w:val="000000"/>
          <w:kern w:val="2"/>
        </w:rPr>
        <w:t>評估日期：</w:t>
      </w:r>
      <w:r w:rsidR="00A32E05" w:rsidRPr="007C449B">
        <w:rPr>
          <w:rFonts w:ascii="標楷體" w:eastAsia="標楷體" w:hAnsi="標楷體" w:cs="Times New Roman" w:hint="eastAsia"/>
          <w:color w:val="000000"/>
          <w:kern w:val="2"/>
          <w:u w:val="single"/>
        </w:rPr>
        <w:t>1</w:t>
      </w:r>
      <w:r w:rsidR="00C22AAB">
        <w:rPr>
          <w:rFonts w:ascii="標楷體" w:eastAsia="標楷體" w:hAnsi="標楷體" w:cs="Times New Roman" w:hint="eastAsia"/>
          <w:color w:val="000000"/>
          <w:kern w:val="2"/>
          <w:u w:val="single"/>
        </w:rPr>
        <w:t>1</w:t>
      </w:r>
      <w:r w:rsidR="000D3227">
        <w:rPr>
          <w:rFonts w:ascii="標楷體" w:eastAsia="標楷體" w:hAnsi="標楷體" w:cs="Times New Roman" w:hint="eastAsia"/>
          <w:color w:val="000000"/>
          <w:kern w:val="2"/>
          <w:u w:val="single"/>
        </w:rPr>
        <w:t>4</w:t>
      </w:r>
      <w:r w:rsidR="008B6696" w:rsidRPr="007C449B">
        <w:rPr>
          <w:rFonts w:ascii="標楷體" w:eastAsia="標楷體" w:hAnsi="標楷體" w:cs="Times New Roman" w:hint="eastAsia"/>
          <w:color w:val="000000"/>
          <w:kern w:val="2"/>
          <w:u w:val="single"/>
        </w:rPr>
        <w:t>年</w:t>
      </w:r>
      <w:r w:rsidR="000D3227">
        <w:rPr>
          <w:rFonts w:ascii="標楷體" w:eastAsia="標楷體" w:hAnsi="標楷體" w:cs="Times New Roman" w:hint="eastAsia"/>
          <w:color w:val="000000"/>
          <w:kern w:val="2"/>
          <w:u w:val="single"/>
        </w:rPr>
        <w:t>7</w:t>
      </w:r>
      <w:r w:rsidR="008B6696" w:rsidRPr="007C449B">
        <w:rPr>
          <w:rFonts w:ascii="標楷體" w:eastAsia="標楷體" w:hAnsi="標楷體" w:cs="Times New Roman" w:hint="eastAsia"/>
          <w:color w:val="000000"/>
          <w:kern w:val="2"/>
          <w:u w:val="single"/>
        </w:rPr>
        <w:t>月</w:t>
      </w:r>
      <w:r w:rsidR="000D3227">
        <w:rPr>
          <w:rFonts w:ascii="標楷體" w:eastAsia="標楷體" w:hAnsi="標楷體" w:cs="Times New Roman" w:hint="eastAsia"/>
          <w:color w:val="000000"/>
          <w:kern w:val="2"/>
          <w:u w:val="single"/>
        </w:rPr>
        <w:t>31</w:t>
      </w:r>
      <w:r w:rsidR="008B6696" w:rsidRPr="007C449B">
        <w:rPr>
          <w:rFonts w:ascii="標楷體" w:eastAsia="標楷體" w:hAnsi="標楷體" w:cs="Times New Roman" w:hint="eastAsia"/>
          <w:color w:val="000000"/>
          <w:kern w:val="2"/>
          <w:u w:val="single"/>
        </w:rPr>
        <w:t>日</w:t>
      </w:r>
    </w:p>
    <w:tbl>
      <w:tblPr>
        <w:tblpPr w:leftFromText="180" w:rightFromText="180" w:vertAnchor="text" w:tblpXSpec="righ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562"/>
        <w:gridCol w:w="564"/>
        <w:gridCol w:w="564"/>
        <w:gridCol w:w="564"/>
        <w:gridCol w:w="570"/>
        <w:gridCol w:w="2804"/>
      </w:tblGrid>
      <w:tr w:rsidR="008B6696" w:rsidRPr="003B16E3" w14:paraId="01269828" w14:textId="77777777" w:rsidTr="001A24F6">
        <w:trPr>
          <w:trHeight w:val="468"/>
        </w:trPr>
        <w:tc>
          <w:tcPr>
            <w:tcW w:w="2145" w:type="pct"/>
            <w:vMerge w:val="restart"/>
            <w:vAlign w:val="center"/>
          </w:tcPr>
          <w:p w14:paraId="15CC8282" w14:textId="77777777" w:rsidR="008B6696" w:rsidRPr="003B16E3" w:rsidRDefault="008B6696" w:rsidP="00E020DF">
            <w:pPr>
              <w:spacing w:line="280" w:lineRule="exact"/>
              <w:ind w:leftChars="138" w:left="331"/>
              <w:jc w:val="center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評估重點</w:t>
            </w:r>
          </w:p>
        </w:tc>
        <w:tc>
          <w:tcPr>
            <w:tcW w:w="1432" w:type="pct"/>
            <w:gridSpan w:val="5"/>
            <w:vAlign w:val="center"/>
          </w:tcPr>
          <w:p w14:paraId="61B782C7" w14:textId="59B5C250" w:rsidR="008B6696" w:rsidRPr="003B16E3" w:rsidRDefault="008B6696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評估情形</w:t>
            </w:r>
          </w:p>
        </w:tc>
        <w:tc>
          <w:tcPr>
            <w:tcW w:w="1423" w:type="pct"/>
            <w:vMerge w:val="restart"/>
            <w:vAlign w:val="center"/>
          </w:tcPr>
          <w:p w14:paraId="5820E60E" w14:textId="77777777" w:rsidR="008B6696" w:rsidRPr="003B16E3" w:rsidRDefault="008B6696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評估情形說明</w:t>
            </w:r>
          </w:p>
        </w:tc>
      </w:tr>
      <w:tr w:rsidR="00216C9B" w:rsidRPr="003B16E3" w14:paraId="6C33CE4B" w14:textId="77777777" w:rsidTr="001A24F6">
        <w:tc>
          <w:tcPr>
            <w:tcW w:w="2145" w:type="pct"/>
            <w:vMerge/>
            <w:tcBorders>
              <w:bottom w:val="single" w:sz="4" w:space="0" w:color="auto"/>
            </w:tcBorders>
            <w:vAlign w:val="center"/>
          </w:tcPr>
          <w:p w14:paraId="40A7EDAE" w14:textId="77777777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0555FA11" w14:textId="1B0797B4" w:rsidR="005E66DE" w:rsidRPr="003B16E3" w:rsidRDefault="0034337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落實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4E67128D" w14:textId="2D5A1903" w:rsidR="005E66DE" w:rsidRPr="003B16E3" w:rsidRDefault="00216C9B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部分落實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5C7A79D6" w14:textId="0D672343" w:rsidR="005E66DE" w:rsidRPr="003B16E3" w:rsidRDefault="00216C9B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未落實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633F83C9" w14:textId="7145BDD4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不適用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55FFAE77" w14:textId="79F9802C" w:rsidR="005E66DE" w:rsidRPr="003B16E3" w:rsidRDefault="00216C9B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未發生</w:t>
            </w:r>
          </w:p>
        </w:tc>
        <w:tc>
          <w:tcPr>
            <w:tcW w:w="1423" w:type="pct"/>
            <w:vMerge/>
            <w:tcBorders>
              <w:bottom w:val="single" w:sz="4" w:space="0" w:color="auto"/>
            </w:tcBorders>
            <w:vAlign w:val="center"/>
          </w:tcPr>
          <w:p w14:paraId="16AFAAB0" w14:textId="7AC44107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6C9B" w:rsidRPr="003B16E3" w14:paraId="0136CC1B" w14:textId="77777777" w:rsidTr="001A24F6">
        <w:trPr>
          <w:trHeight w:val="180"/>
        </w:trPr>
        <w:tc>
          <w:tcPr>
            <w:tcW w:w="214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83686C" w14:textId="3C31AF6A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Arial" w:eastAsia="標楷體" w:hAnsi="Arial" w:cs="Arial" w:hint="eastAsia"/>
                <w:color w:val="000000"/>
              </w:rPr>
              <w:t>派員監辦採購是否注意下列事項：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9C2D7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C47026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67194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F2491" w14:textId="20015DC1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E139A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9F3FE16" w14:textId="42327FA5" w:rsidR="005E66DE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本作業於評估期間發生總筆數</w:t>
            </w:r>
            <w:r w:rsidR="00216C9B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5E5B0C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 w:rsidR="00CF7851">
              <w:rPr>
                <w:rFonts w:ascii="標楷體" w:eastAsia="標楷體" w:hAnsi="標楷體"/>
                <w:color w:val="000000"/>
                <w:u w:val="single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筆，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依抽核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標準表隨機抽取</w:t>
            </w:r>
            <w:r w:rsidR="00216C9B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5E5B0C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 w:rsidR="00216C9B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筆進行查核：</w:t>
            </w:r>
          </w:p>
          <w:p w14:paraId="43FAA272" w14:textId="67AD2F14" w:rsidR="00216C9B" w:rsidRPr="003B16E3" w:rsidRDefault="00216C9B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16C9B" w:rsidRPr="003B16E3" w14:paraId="27CD1C97" w14:textId="77777777" w:rsidTr="001A24F6">
        <w:tc>
          <w:tcPr>
            <w:tcW w:w="2145" w:type="pct"/>
            <w:tcBorders>
              <w:top w:val="nil"/>
              <w:bottom w:val="nil"/>
              <w:right w:val="single" w:sz="4" w:space="0" w:color="auto"/>
            </w:tcBorders>
          </w:tcPr>
          <w:p w14:paraId="3CD122FC" w14:textId="77777777" w:rsidR="005E66DE" w:rsidRDefault="005E66DE" w:rsidP="00E020DF">
            <w:pPr>
              <w:pStyle w:val="Web"/>
              <w:spacing w:before="0" w:beforeAutospacing="0" w:after="0" w:afterAutospacing="0"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</w:rPr>
              <w:t>)「機關主會計及有關單位會同監辦採購辦法」第5條第1項所定各款得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</w:rPr>
              <w:t>派員監辦情形，是否經機關首長或其授權人員核准。</w:t>
            </w:r>
          </w:p>
          <w:p w14:paraId="2E40CF5F" w14:textId="20677A72" w:rsidR="00216C9B" w:rsidRPr="003B16E3" w:rsidRDefault="00216C9B" w:rsidP="00E020DF">
            <w:pPr>
              <w:pStyle w:val="Web"/>
              <w:spacing w:before="0" w:beforeAutospacing="0" w:after="0" w:afterAutospacing="0"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5C2" w14:textId="6337DAB0" w:rsidR="005E66DE" w:rsidRPr="003B16E3" w:rsidRDefault="00216C9B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V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0E514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9840D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0F7F0" w14:textId="1554433C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D5C25" w14:textId="77777777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left w:val="single" w:sz="4" w:space="0" w:color="auto"/>
              <w:bottom w:val="nil"/>
            </w:tcBorders>
          </w:tcPr>
          <w:p w14:paraId="62746ED7" w14:textId="6B9C5D8F" w:rsidR="005E66DE" w:rsidRPr="004259DB" w:rsidRDefault="005E66DE" w:rsidP="00E020DF">
            <w:pPr>
              <w:pStyle w:val="a7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4259DB">
              <w:rPr>
                <w:rFonts w:ascii="標楷體" w:eastAsia="標楷體" w:hAnsi="標楷體" w:hint="eastAsia"/>
                <w:color w:val="000000"/>
              </w:rPr>
              <w:t>本項</w:t>
            </w:r>
            <w:r w:rsidR="00CF7851">
              <w:rPr>
                <w:rFonts w:ascii="標楷體" w:eastAsia="標楷體" w:hAnsi="標楷體" w:hint="eastAsia"/>
                <w:color w:val="000000"/>
              </w:rPr>
              <w:t>於評估期間</w:t>
            </w:r>
            <w:proofErr w:type="gramStart"/>
            <w:r w:rsidR="00CF7851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="00CF7851">
              <w:rPr>
                <w:rFonts w:ascii="標楷體" w:eastAsia="標楷體" w:hAnsi="標楷體" w:hint="eastAsia"/>
                <w:color w:val="000000"/>
              </w:rPr>
              <w:t>派員皆符合</w:t>
            </w:r>
            <w:r w:rsidR="00CF7851" w:rsidRPr="00CF7851">
              <w:rPr>
                <w:rFonts w:ascii="標楷體" w:eastAsia="標楷體" w:hAnsi="標楷體" w:hint="eastAsia"/>
                <w:color w:val="000000"/>
              </w:rPr>
              <w:t>「機關主會計及有關單位會同監辦採購辦法」第5條第1項所定各款得</w:t>
            </w:r>
            <w:proofErr w:type="gramStart"/>
            <w:r w:rsidR="00CF7851" w:rsidRPr="00CF7851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="00CF7851" w:rsidRPr="00CF7851">
              <w:rPr>
                <w:rFonts w:ascii="標楷體" w:eastAsia="標楷體" w:hAnsi="標楷體" w:hint="eastAsia"/>
                <w:color w:val="000000"/>
              </w:rPr>
              <w:t>派員監辦情形，經機關首長或其授權人員核准。</w:t>
            </w:r>
          </w:p>
        </w:tc>
      </w:tr>
      <w:tr w:rsidR="00216C9B" w:rsidRPr="003B16E3" w14:paraId="75805751" w14:textId="77777777" w:rsidTr="001A24F6">
        <w:trPr>
          <w:trHeight w:val="320"/>
        </w:trPr>
        <w:tc>
          <w:tcPr>
            <w:tcW w:w="2145" w:type="pct"/>
            <w:tcBorders>
              <w:top w:val="nil"/>
              <w:bottom w:val="nil"/>
              <w:right w:val="single" w:sz="4" w:space="0" w:color="auto"/>
            </w:tcBorders>
          </w:tcPr>
          <w:p w14:paraId="02CE8D00" w14:textId="77777777" w:rsidR="005E66DE" w:rsidRPr="003B16E3" w:rsidRDefault="005E66DE" w:rsidP="00E020DF">
            <w:pPr>
              <w:pStyle w:val="Web"/>
              <w:spacing w:before="0" w:beforeAutospacing="0" w:after="0" w:afterAutospacing="0"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(二)</w:t>
            </w:r>
            <w:r w:rsidRPr="003B16E3">
              <w:rPr>
                <w:rFonts w:ascii="標楷體" w:eastAsia="標楷體" w:hAnsi="標楷體" w:cs="Arial" w:hint="eastAsia"/>
                <w:color w:val="000000"/>
              </w:rPr>
              <w:t>公告金額以上之採購，</w:t>
            </w:r>
            <w:proofErr w:type="gramStart"/>
            <w:r w:rsidRPr="003B16E3">
              <w:rPr>
                <w:rFonts w:ascii="標楷體" w:eastAsia="標楷體" w:hAnsi="標楷體" w:cs="Arial" w:hint="eastAsia"/>
                <w:color w:val="000000"/>
              </w:rPr>
              <w:t>採</w:t>
            </w:r>
            <w:proofErr w:type="gramEnd"/>
            <w:r w:rsidRPr="003B16E3">
              <w:rPr>
                <w:rFonts w:ascii="標楷體" w:eastAsia="標楷體" w:hAnsi="標楷體" w:cs="Arial" w:hint="eastAsia"/>
                <w:color w:val="000000"/>
              </w:rPr>
              <w:t>書面審核、部分實地及書面審核監辦，是否簽奉機關首長或其授權人員核准。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3D8B2" w14:textId="1906354E" w:rsidR="005E66DE" w:rsidRPr="003B16E3" w:rsidRDefault="00216C9B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V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9CF823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DB617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82E88" w14:textId="5CA41A8E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0308B" w14:textId="77777777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14DECC1" w14:textId="7FFCE103" w:rsidR="00216C9B" w:rsidRPr="00CC4C65" w:rsidRDefault="005E66DE" w:rsidP="00E020DF">
            <w:pPr>
              <w:pStyle w:val="a7"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4259DB">
              <w:rPr>
                <w:rFonts w:ascii="標楷體" w:eastAsia="標楷體" w:hAnsi="標楷體" w:hint="eastAsia"/>
                <w:color w:val="000000"/>
              </w:rPr>
              <w:t>本項評估重點於評估</w:t>
            </w:r>
            <w:proofErr w:type="gramStart"/>
            <w:r w:rsidRPr="004259DB">
              <w:rPr>
                <w:rFonts w:ascii="標楷體" w:eastAsia="標楷體" w:hAnsi="標楷體" w:hint="eastAsia"/>
                <w:color w:val="000000"/>
              </w:rPr>
              <w:t>期間</w:t>
            </w:r>
            <w:r w:rsidR="00CC4C65">
              <w:rPr>
                <w:rFonts w:ascii="標楷體" w:eastAsia="標楷體" w:hAnsi="標楷體" w:hint="eastAsia"/>
                <w:color w:val="000000"/>
              </w:rPr>
              <w:t>,</w:t>
            </w:r>
            <w:proofErr w:type="gramEnd"/>
            <w:r w:rsidR="00CC4C65">
              <w:rPr>
                <w:rFonts w:ascii="標楷體" w:eastAsia="標楷體" w:hAnsi="標楷體" w:hint="eastAsia"/>
                <w:color w:val="000000"/>
              </w:rPr>
              <w:t>本校公告金額以上之採購，</w:t>
            </w:r>
            <w:proofErr w:type="gramStart"/>
            <w:r w:rsidR="00CC4C6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="00CC4C65">
              <w:rPr>
                <w:rFonts w:ascii="標楷體" w:eastAsia="標楷體" w:hAnsi="標楷體" w:hint="eastAsia"/>
                <w:color w:val="000000"/>
              </w:rPr>
              <w:t>書面監辦，</w:t>
            </w:r>
            <w:proofErr w:type="gramStart"/>
            <w:r w:rsidR="00CC4C65">
              <w:rPr>
                <w:rFonts w:ascii="標楷體" w:eastAsia="標楷體" w:hAnsi="標楷體" w:hint="eastAsia"/>
                <w:color w:val="000000"/>
              </w:rPr>
              <w:t>均經簽</w:t>
            </w:r>
            <w:proofErr w:type="gramEnd"/>
            <w:r w:rsidR="00CC4C65">
              <w:rPr>
                <w:rFonts w:ascii="標楷體" w:eastAsia="標楷體" w:hAnsi="標楷體" w:hint="eastAsia"/>
                <w:color w:val="000000"/>
              </w:rPr>
              <w:t>奉機關首長核准。</w:t>
            </w:r>
          </w:p>
        </w:tc>
      </w:tr>
      <w:tr w:rsidR="00216C9B" w:rsidRPr="003B16E3" w14:paraId="26240C16" w14:textId="77777777" w:rsidTr="001A24F6">
        <w:trPr>
          <w:trHeight w:val="319"/>
        </w:trPr>
        <w:tc>
          <w:tcPr>
            <w:tcW w:w="214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A2A8E6" w14:textId="77777777" w:rsidR="005E66DE" w:rsidRPr="003B16E3" w:rsidRDefault="005E66DE" w:rsidP="00E020DF">
            <w:pPr>
              <w:pStyle w:val="Web"/>
              <w:spacing w:before="0" w:beforeAutospacing="0" w:after="0" w:afterAutospacing="0"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(三)採購案之承辦人員不得為該採購案之監辦人員。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5DBE" w14:textId="77777777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01DD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32C9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4BD6" w14:textId="64ABAF55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484B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D0E55" w14:textId="42AB0590" w:rsidR="005E66DE" w:rsidRDefault="005E66DE" w:rsidP="00E020DF">
            <w:pPr>
              <w:pStyle w:val="a7"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4259DB">
              <w:rPr>
                <w:rFonts w:ascii="標楷體" w:eastAsia="標楷體" w:hAnsi="標楷體" w:hint="eastAsia"/>
                <w:color w:val="000000"/>
              </w:rPr>
              <w:t>採購案之承辦</w:t>
            </w:r>
            <w:proofErr w:type="gramStart"/>
            <w:r w:rsidRPr="004259DB">
              <w:rPr>
                <w:rFonts w:ascii="標楷體" w:eastAsia="標楷體" w:hAnsi="標楷體" w:hint="eastAsia"/>
                <w:color w:val="000000"/>
              </w:rPr>
              <w:t>人員均未擔任</w:t>
            </w:r>
            <w:proofErr w:type="gramEnd"/>
            <w:r w:rsidRPr="004259DB">
              <w:rPr>
                <w:rFonts w:ascii="標楷體" w:eastAsia="標楷體" w:hAnsi="標楷體" w:hint="eastAsia"/>
                <w:color w:val="000000"/>
              </w:rPr>
              <w:t>該採購案之監辦人員。</w:t>
            </w:r>
          </w:p>
          <w:p w14:paraId="783BB88E" w14:textId="77777777" w:rsidR="005E66DE" w:rsidRPr="004259DB" w:rsidRDefault="005E66DE" w:rsidP="00E020DF">
            <w:pPr>
              <w:pStyle w:val="a7"/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16C9B" w:rsidRPr="003B16E3" w14:paraId="48CEDA5A" w14:textId="77777777" w:rsidTr="001A24F6">
        <w:tc>
          <w:tcPr>
            <w:tcW w:w="2145" w:type="pct"/>
            <w:tcBorders>
              <w:top w:val="single" w:sz="4" w:space="0" w:color="auto"/>
              <w:bottom w:val="nil"/>
            </w:tcBorders>
          </w:tcPr>
          <w:p w14:paraId="4FF05C11" w14:textId="77777777" w:rsidR="005E66DE" w:rsidRPr="003B16E3" w:rsidRDefault="005E66DE" w:rsidP="00E020DF">
            <w:pPr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三、開標（比價、議價）及決標</w:t>
            </w:r>
            <w:r w:rsidRPr="003B16E3">
              <w:rPr>
                <w:rFonts w:ascii="Arial" w:eastAsia="標楷體" w:hAnsi="Arial" w:cs="Arial" w:hint="eastAsia"/>
                <w:color w:val="000000"/>
              </w:rPr>
              <w:t>是否注意下列事項</w:t>
            </w:r>
            <w:r w:rsidRPr="003B16E3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285" w:type="pct"/>
            <w:tcBorders>
              <w:top w:val="single" w:sz="4" w:space="0" w:color="auto"/>
              <w:bottom w:val="nil"/>
            </w:tcBorders>
          </w:tcPr>
          <w:p w14:paraId="5308DB3B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nil"/>
            </w:tcBorders>
          </w:tcPr>
          <w:p w14:paraId="15CF4539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nil"/>
            </w:tcBorders>
          </w:tcPr>
          <w:p w14:paraId="74FD3A1D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nil"/>
            </w:tcBorders>
          </w:tcPr>
          <w:p w14:paraId="4B9F4691" w14:textId="5E155F7D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nil"/>
            </w:tcBorders>
          </w:tcPr>
          <w:p w14:paraId="006875E7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3" w:type="pct"/>
            <w:tcBorders>
              <w:top w:val="single" w:sz="4" w:space="0" w:color="auto"/>
              <w:bottom w:val="nil"/>
            </w:tcBorders>
          </w:tcPr>
          <w:p w14:paraId="3862FE9F" w14:textId="604333C9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本作業於評估期間發生總筆數為</w:t>
            </w:r>
            <w:r w:rsidR="005E5B0C" w:rsidRPr="005E5B0C">
              <w:rPr>
                <w:rFonts w:ascii="標楷體" w:eastAsia="標楷體" w:hAnsi="標楷體" w:hint="eastAsia"/>
                <w:color w:val="000000"/>
                <w:u w:val="single"/>
              </w:rPr>
              <w:t xml:space="preserve"> 1</w:t>
            </w:r>
            <w:r w:rsidR="00CF7851">
              <w:rPr>
                <w:rFonts w:ascii="標楷體" w:eastAsia="標楷體" w:hAnsi="標楷體" w:hint="eastAsia"/>
                <w:color w:val="000000"/>
                <w:u w:val="single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筆，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依抽核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標準表隨機抽取</w:t>
            </w:r>
            <w:r w:rsidRPr="004B4F73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筆進行查核：</w:t>
            </w:r>
          </w:p>
        </w:tc>
      </w:tr>
      <w:tr w:rsidR="00216C9B" w:rsidRPr="003B16E3" w14:paraId="2EA6FE3C" w14:textId="77777777" w:rsidTr="001A24F6">
        <w:tc>
          <w:tcPr>
            <w:tcW w:w="2145" w:type="pct"/>
            <w:tcBorders>
              <w:top w:val="nil"/>
              <w:bottom w:val="nil"/>
            </w:tcBorders>
          </w:tcPr>
          <w:p w14:paraId="429B7833" w14:textId="77777777" w:rsidR="005E66DE" w:rsidRPr="003B16E3" w:rsidRDefault="005E66DE" w:rsidP="00E020DF">
            <w:pPr>
              <w:pStyle w:val="Web"/>
              <w:spacing w:before="0" w:beforeAutospacing="0" w:after="0" w:afterAutospacing="0"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</w:rPr>
              <w:t>)開標是否依招標文件公告之時間及地點依規定公開為之，主持人是否為</w:t>
            </w:r>
            <w:r w:rsidRPr="003B16E3">
              <w:rPr>
                <w:rFonts w:ascii="標楷體" w:eastAsia="標楷體" w:hAnsi="標楷體" w:cs="Arial" w:hint="eastAsia"/>
                <w:color w:val="000000"/>
              </w:rPr>
              <w:t>機關首長或其授權人員</w:t>
            </w:r>
            <w:r w:rsidRPr="003B16E3">
              <w:rPr>
                <w:rFonts w:ascii="標楷體" w:eastAsia="標楷體" w:hAnsi="標楷體" w:hint="eastAsia"/>
                <w:color w:val="000000"/>
              </w:rPr>
              <w:t>所指派。</w:t>
            </w:r>
          </w:p>
        </w:tc>
        <w:tc>
          <w:tcPr>
            <w:tcW w:w="285" w:type="pct"/>
            <w:tcBorders>
              <w:top w:val="nil"/>
              <w:bottom w:val="nil"/>
            </w:tcBorders>
          </w:tcPr>
          <w:p w14:paraId="615F1DA2" w14:textId="77777777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1900B947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33635B0D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4BD0A213" w14:textId="20212A60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bottom w:val="nil"/>
            </w:tcBorders>
          </w:tcPr>
          <w:p w14:paraId="0F30FD03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bottom w:val="nil"/>
            </w:tcBorders>
          </w:tcPr>
          <w:p w14:paraId="5BD0E229" w14:textId="77777777" w:rsidR="005E66DE" w:rsidRDefault="005E66DE" w:rsidP="00E020DF">
            <w:pPr>
              <w:pStyle w:val="a7"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4259DB">
              <w:rPr>
                <w:rFonts w:ascii="標楷體" w:eastAsia="標楷體" w:hAnsi="標楷體" w:hint="eastAsia"/>
                <w:color w:val="000000"/>
              </w:rPr>
              <w:t>本項評估重點於評估期間</w:t>
            </w:r>
            <w:proofErr w:type="gramStart"/>
            <w:r w:rsidRPr="004259DB">
              <w:rPr>
                <w:rFonts w:ascii="標楷體" w:eastAsia="標楷體" w:hAnsi="標楷體" w:hint="eastAsia"/>
                <w:color w:val="000000"/>
              </w:rPr>
              <w:t>開標均依招標</w:t>
            </w:r>
            <w:proofErr w:type="gramEnd"/>
            <w:r w:rsidRPr="004259DB">
              <w:rPr>
                <w:rFonts w:ascii="標楷體" w:eastAsia="標楷體" w:hAnsi="標楷體" w:hint="eastAsia"/>
                <w:color w:val="000000"/>
              </w:rPr>
              <w:t>文件公告之時間及地點依規定公開為之，主持人係</w:t>
            </w:r>
            <w:r w:rsidRPr="004259DB">
              <w:rPr>
                <w:rFonts w:ascii="標楷體" w:eastAsia="標楷體" w:hAnsi="標楷體" w:cs="Arial" w:hint="eastAsia"/>
                <w:color w:val="000000"/>
              </w:rPr>
              <w:t>機關首長或其授權人員</w:t>
            </w:r>
            <w:r w:rsidRPr="004259DB">
              <w:rPr>
                <w:rFonts w:ascii="標楷體" w:eastAsia="標楷體" w:hAnsi="標楷體" w:hint="eastAsia"/>
                <w:color w:val="000000"/>
              </w:rPr>
              <w:t>所指派。</w:t>
            </w:r>
          </w:p>
          <w:p w14:paraId="1DE67F1B" w14:textId="1E37C017" w:rsidR="00216C9B" w:rsidRPr="004259DB" w:rsidRDefault="00216C9B" w:rsidP="00E020DF">
            <w:pPr>
              <w:pStyle w:val="a7"/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16C9B" w:rsidRPr="003B16E3" w14:paraId="63236AFC" w14:textId="77777777" w:rsidTr="001A24F6">
        <w:tc>
          <w:tcPr>
            <w:tcW w:w="2145" w:type="pct"/>
            <w:tcBorders>
              <w:top w:val="nil"/>
              <w:bottom w:val="nil"/>
            </w:tcBorders>
          </w:tcPr>
          <w:p w14:paraId="57740BF4" w14:textId="77777777" w:rsidR="005E66DE" w:rsidRPr="003B16E3" w:rsidRDefault="005E66DE" w:rsidP="00E020DF">
            <w:pPr>
              <w:pStyle w:val="Web"/>
              <w:spacing w:before="0" w:beforeAutospacing="0" w:after="0" w:afterAutospacing="0"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(二)是否注意採購單位已確實依招標文件規定審查投標文件，審核標單人員是否在規定文件上簽章認可。</w:t>
            </w:r>
          </w:p>
        </w:tc>
        <w:tc>
          <w:tcPr>
            <w:tcW w:w="285" w:type="pct"/>
            <w:tcBorders>
              <w:top w:val="nil"/>
              <w:bottom w:val="nil"/>
            </w:tcBorders>
          </w:tcPr>
          <w:p w14:paraId="19FB6669" w14:textId="77777777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5C948AA8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3650E118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499837EE" w14:textId="1595FE7E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bottom w:val="nil"/>
            </w:tcBorders>
          </w:tcPr>
          <w:p w14:paraId="612E5A5C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bottom w:val="nil"/>
            </w:tcBorders>
          </w:tcPr>
          <w:p w14:paraId="6FA68AB0" w14:textId="0FB656D8" w:rsidR="005E66DE" w:rsidRPr="004259DB" w:rsidRDefault="005E66DE" w:rsidP="00E020DF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259DB">
              <w:rPr>
                <w:rFonts w:ascii="標楷體" w:eastAsia="標楷體" w:hAnsi="標楷體" w:hint="eastAsia"/>
                <w:color w:val="000000"/>
              </w:rPr>
              <w:t>本項評估重點於評估期間</w:t>
            </w:r>
            <w:r w:rsidRPr="004259DB">
              <w:rPr>
                <w:rFonts w:ascii="標楷體" w:eastAsia="標楷體" w:hAnsi="標楷體" w:hint="eastAsia"/>
              </w:rPr>
              <w:t>已注意採購單位確實依招標文件規定審查投標文</w:t>
            </w:r>
            <w:r w:rsidRPr="004259DB">
              <w:rPr>
                <w:rFonts w:ascii="標楷體" w:eastAsia="標楷體" w:hAnsi="標楷體" w:hint="eastAsia"/>
              </w:rPr>
              <w:lastRenderedPageBreak/>
              <w:t>件，並審核標單人員在規定文件上簽章認可。</w:t>
            </w:r>
          </w:p>
        </w:tc>
      </w:tr>
      <w:tr w:rsidR="00216C9B" w:rsidRPr="003B16E3" w14:paraId="017C93DA" w14:textId="77777777" w:rsidTr="001A24F6">
        <w:tc>
          <w:tcPr>
            <w:tcW w:w="2145" w:type="pct"/>
            <w:tcBorders>
              <w:top w:val="nil"/>
              <w:bottom w:val="nil"/>
            </w:tcBorders>
          </w:tcPr>
          <w:p w14:paraId="60CC38DC" w14:textId="77777777" w:rsidR="005E66DE" w:rsidRPr="003B16E3" w:rsidRDefault="005E66DE" w:rsidP="00E020DF">
            <w:pPr>
              <w:pStyle w:val="Web"/>
              <w:spacing w:before="0" w:beforeAutospacing="0" w:after="0" w:afterAutospacing="0"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lastRenderedPageBreak/>
              <w:t>(三)底價開封前審視底價封是否密封完整，開封後應注意底價是否經機關首長或授權人員核定及簽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</w:rPr>
              <w:t>底價訂定之時間。</w:t>
            </w:r>
          </w:p>
        </w:tc>
        <w:tc>
          <w:tcPr>
            <w:tcW w:w="285" w:type="pct"/>
            <w:tcBorders>
              <w:top w:val="nil"/>
              <w:bottom w:val="nil"/>
            </w:tcBorders>
          </w:tcPr>
          <w:p w14:paraId="15AE3EAB" w14:textId="77777777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58A6EB6E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146EFD8C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16A2B57A" w14:textId="5BE251F5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bottom w:val="nil"/>
            </w:tcBorders>
          </w:tcPr>
          <w:p w14:paraId="7F518C16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bottom w:val="nil"/>
            </w:tcBorders>
          </w:tcPr>
          <w:p w14:paraId="7B18CCFA" w14:textId="6FF40430" w:rsidR="005E66DE" w:rsidRPr="004259DB" w:rsidRDefault="005E66DE" w:rsidP="00E020DF">
            <w:pPr>
              <w:pStyle w:val="a7"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4259DB">
              <w:rPr>
                <w:rFonts w:ascii="標楷體" w:eastAsia="標楷體" w:hAnsi="標楷體" w:hint="eastAsia"/>
                <w:color w:val="000000"/>
              </w:rPr>
              <w:t>本項評估重點於評估期間已審視底價開封前底價封已密封完整，並注意開封後底價經機關首長或授權人員核定及簽</w:t>
            </w:r>
            <w:proofErr w:type="gramStart"/>
            <w:r w:rsidRPr="004259DB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Pr="004259DB">
              <w:rPr>
                <w:rFonts w:ascii="標楷體" w:eastAsia="標楷體" w:hAnsi="標楷體" w:hint="eastAsia"/>
                <w:color w:val="000000"/>
              </w:rPr>
              <w:t>底價訂定之時間。</w:t>
            </w:r>
          </w:p>
        </w:tc>
      </w:tr>
      <w:tr w:rsidR="00216C9B" w:rsidRPr="003B16E3" w14:paraId="47832281" w14:textId="77777777" w:rsidTr="001A24F6">
        <w:tc>
          <w:tcPr>
            <w:tcW w:w="2145" w:type="pct"/>
            <w:tcBorders>
              <w:top w:val="nil"/>
              <w:bottom w:val="nil"/>
            </w:tcBorders>
          </w:tcPr>
          <w:p w14:paraId="2340BD95" w14:textId="77777777" w:rsidR="005E66DE" w:rsidRPr="003B16E3" w:rsidRDefault="005E66DE" w:rsidP="00E020DF">
            <w:pPr>
              <w:pStyle w:val="Web"/>
              <w:spacing w:before="0" w:beforeAutospacing="0" w:after="0" w:afterAutospacing="0"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(四)合於招標文件規定之投標廠商之最低標價超過底價時，主持人是否依政府採購法規定確實進行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</w:rPr>
              <w:t>價格比減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85" w:type="pct"/>
            <w:tcBorders>
              <w:top w:val="nil"/>
              <w:bottom w:val="nil"/>
            </w:tcBorders>
          </w:tcPr>
          <w:p w14:paraId="05B5B721" w14:textId="77777777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273F1C3B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55E39AFE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3B2ADE36" w14:textId="0B765690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bottom w:val="nil"/>
            </w:tcBorders>
          </w:tcPr>
          <w:p w14:paraId="45F19804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bottom w:val="nil"/>
            </w:tcBorders>
          </w:tcPr>
          <w:p w14:paraId="769B867B" w14:textId="79AEE76F" w:rsidR="005E66DE" w:rsidRPr="004259DB" w:rsidRDefault="005E66DE" w:rsidP="00E020DF">
            <w:pPr>
              <w:pStyle w:val="a7"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4259DB">
              <w:rPr>
                <w:rFonts w:ascii="標楷體" w:eastAsia="標楷體" w:hAnsi="標楷體" w:hint="eastAsia"/>
                <w:color w:val="000000"/>
              </w:rPr>
              <w:t>本項評估重點於評估期間因合於招標文件規定之投標廠商標價</w:t>
            </w: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r w:rsidRPr="004259DB">
              <w:rPr>
                <w:rFonts w:ascii="標楷體" w:eastAsia="標楷體" w:hAnsi="標楷體" w:hint="eastAsia"/>
                <w:color w:val="000000"/>
              </w:rPr>
              <w:t>於底價</w:t>
            </w:r>
            <w:r>
              <w:rPr>
                <w:rFonts w:ascii="標楷體" w:eastAsia="標楷體" w:hAnsi="標楷體" w:hint="eastAsia"/>
                <w:color w:val="000000"/>
              </w:rPr>
              <w:t>，主持人</w:t>
            </w:r>
            <w:r w:rsidRPr="003B16E3">
              <w:rPr>
                <w:rFonts w:ascii="標楷體" w:eastAsia="標楷體" w:hAnsi="標楷體" w:hint="eastAsia"/>
                <w:color w:val="000000"/>
              </w:rPr>
              <w:t>依政府採購法規定確實進行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</w:rPr>
              <w:t>價格比減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16C9B" w:rsidRPr="003B16E3" w14:paraId="6DDCC291" w14:textId="77777777" w:rsidTr="001A24F6">
        <w:tc>
          <w:tcPr>
            <w:tcW w:w="2145" w:type="pct"/>
            <w:tcBorders>
              <w:top w:val="nil"/>
              <w:bottom w:val="nil"/>
            </w:tcBorders>
          </w:tcPr>
          <w:p w14:paraId="0CCF9897" w14:textId="77777777" w:rsidR="005E66DE" w:rsidRPr="003B16E3" w:rsidRDefault="005E66DE" w:rsidP="00E020DF">
            <w:pPr>
              <w:pStyle w:val="Web"/>
              <w:spacing w:before="0" w:beforeAutospacing="0" w:after="0" w:afterAutospacing="0"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(五)是否依招標文件規定之方式決標，主持人是否依規定宣布決標及得標廠商；當機關辦理減價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</w:rPr>
              <w:t>或比減價格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</w:rPr>
              <w:t>在底價以內時，除有總標價或部分標價偏低之情形者外，應即宣布決標。</w:t>
            </w:r>
          </w:p>
        </w:tc>
        <w:tc>
          <w:tcPr>
            <w:tcW w:w="285" w:type="pct"/>
            <w:tcBorders>
              <w:top w:val="nil"/>
              <w:bottom w:val="nil"/>
            </w:tcBorders>
          </w:tcPr>
          <w:p w14:paraId="131D97A6" w14:textId="77777777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714F7705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63E80E93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bottom w:val="nil"/>
            </w:tcBorders>
          </w:tcPr>
          <w:p w14:paraId="1095F21B" w14:textId="3999FF68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bottom w:val="nil"/>
            </w:tcBorders>
          </w:tcPr>
          <w:p w14:paraId="7649E2F5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bottom w:val="nil"/>
            </w:tcBorders>
          </w:tcPr>
          <w:p w14:paraId="6375AFE0" w14:textId="193A8D42" w:rsidR="005E66DE" w:rsidRDefault="005E66DE" w:rsidP="00E020DF">
            <w:pPr>
              <w:pStyle w:val="a7"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4259DB">
              <w:rPr>
                <w:rFonts w:ascii="標楷體" w:eastAsia="標楷體" w:hAnsi="標楷體" w:hint="eastAsia"/>
                <w:color w:val="000000"/>
              </w:rPr>
              <w:t>本項評估重點於評估期間已依招標文件規定之方式決標，主持人已依規定宣布決標及得標廠商。</w:t>
            </w:r>
          </w:p>
          <w:p w14:paraId="34E91BD0" w14:textId="77777777" w:rsidR="005E66DE" w:rsidRPr="004259DB" w:rsidRDefault="005E66DE" w:rsidP="00E020DF">
            <w:pPr>
              <w:pStyle w:val="a7"/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16C9B" w:rsidRPr="003B16E3" w14:paraId="532FD18B" w14:textId="77777777" w:rsidTr="001A24F6">
        <w:trPr>
          <w:trHeight w:val="121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123DE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四、監辦採購驗收</w:t>
            </w:r>
            <w:r w:rsidRPr="003B16E3">
              <w:rPr>
                <w:rFonts w:ascii="Arial" w:eastAsia="標楷體" w:hAnsi="Arial" w:cs="Arial" w:hint="eastAsia"/>
                <w:color w:val="000000"/>
              </w:rPr>
              <w:t>是否注意下列事項</w:t>
            </w:r>
            <w:r w:rsidRPr="003B16E3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9EAC5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0495A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8816E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AEDF7" w14:textId="0A61D942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385F1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808A0" w14:textId="7E9F2901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本作業於評估期間發生總筆數為</w:t>
            </w:r>
            <w:r w:rsidR="005E5B0C" w:rsidRPr="005E5B0C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 w:rsidR="00CC4C65">
              <w:rPr>
                <w:rFonts w:ascii="標楷體" w:eastAsia="標楷體" w:hAnsi="標楷體" w:hint="eastAsia"/>
                <w:color w:val="000000"/>
                <w:u w:val="single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筆，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依抽核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標準表隨機抽取</w:t>
            </w:r>
            <w:r w:rsidRPr="004B4F73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筆進行查核：</w:t>
            </w:r>
          </w:p>
        </w:tc>
      </w:tr>
      <w:tr w:rsidR="00216C9B" w:rsidRPr="003B16E3" w14:paraId="388EBA5E" w14:textId="77777777" w:rsidTr="001A24F6">
        <w:trPr>
          <w:trHeight w:val="121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D31" w14:textId="2C0D80FC" w:rsidR="005E66DE" w:rsidRPr="00B72018" w:rsidRDefault="005E66DE" w:rsidP="00E020DF">
            <w:pPr>
              <w:pStyle w:val="Web"/>
              <w:numPr>
                <w:ilvl w:val="0"/>
                <w:numId w:val="4"/>
              </w:numPr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72018">
              <w:rPr>
                <w:rFonts w:ascii="標楷體" w:eastAsia="標楷體" w:hAnsi="標楷體" w:hint="eastAsia"/>
                <w:color w:val="000000"/>
              </w:rPr>
              <w:t>驗收人員有無核對交貨數量是否與契約規定相符；現場查驗時，驗收單位有無以契約、樣品或竣工圖說為依據。</w:t>
            </w:r>
          </w:p>
          <w:p w14:paraId="65AA83DC" w14:textId="77777777" w:rsidR="005E66DE" w:rsidRDefault="005E66DE" w:rsidP="00E020DF">
            <w:pPr>
              <w:pStyle w:val="Web"/>
              <w:spacing w:before="0" w:beforeAutospacing="0" w:after="0" w:afterAutospacing="0" w:line="28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9917E90" w14:textId="77777777" w:rsidR="005E66DE" w:rsidRDefault="005E66DE" w:rsidP="00E020DF">
            <w:pPr>
              <w:pStyle w:val="Web"/>
              <w:spacing w:before="0" w:beforeAutospacing="0" w:after="0" w:afterAutospacing="0" w:line="28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DB14CE1" w14:textId="77777777" w:rsidR="005E66DE" w:rsidRDefault="005E66DE" w:rsidP="00E020DF">
            <w:pPr>
              <w:pStyle w:val="Web"/>
              <w:spacing w:before="0" w:beforeAutospacing="0" w:after="0" w:afterAutospacing="0" w:line="28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BE61B47" w14:textId="77777777" w:rsidR="005E66DE" w:rsidRDefault="005E66DE" w:rsidP="00E020DF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5B13376" w14:textId="77777777" w:rsidR="005E66DE" w:rsidRDefault="005E66DE" w:rsidP="00E020DF">
            <w:pPr>
              <w:pStyle w:val="Web"/>
              <w:spacing w:before="0" w:beforeAutospacing="0" w:after="0" w:afterAutospacing="0" w:line="28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E1056CE" w14:textId="77777777" w:rsidR="005E66DE" w:rsidRDefault="005E66DE" w:rsidP="00E020DF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3DF06A3" w14:textId="77777777" w:rsidR="005E66DE" w:rsidRDefault="005E66DE" w:rsidP="00E020DF">
            <w:pPr>
              <w:pStyle w:val="Web"/>
              <w:spacing w:before="0" w:beforeAutospacing="0" w:after="0" w:afterAutospacing="0" w:line="28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E0E60FA" w14:textId="77777777" w:rsidR="005E66DE" w:rsidRPr="003B16E3" w:rsidRDefault="005E66DE" w:rsidP="00E020DF">
            <w:pPr>
              <w:pStyle w:val="Web"/>
              <w:spacing w:before="0" w:beforeAutospacing="0" w:after="0" w:afterAutospacing="0"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(二)減價收受之採購案，其在查核金額以上之採購，是否先報經上級機關核准。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0E6A" w14:textId="77777777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F02B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0AD2" w14:textId="77777777" w:rsidR="005E66DE" w:rsidRPr="003B16E3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7E89" w14:textId="5E0EBA32" w:rsidR="005E66DE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3990A3C" w14:textId="77777777" w:rsidR="005E66DE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12A900A" w14:textId="77777777" w:rsidR="005E66DE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8E4AD5E" w14:textId="77777777" w:rsidR="005E66DE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7DBD1E8" w14:textId="77777777" w:rsidR="005E66DE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107431" w14:textId="77777777" w:rsidR="005E66DE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D465D83" w14:textId="77777777" w:rsidR="005E66DE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F7E18AB" w14:textId="77777777" w:rsidR="005E66DE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3854D2A" w14:textId="77777777" w:rsidR="005E66DE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BEDED18" w14:textId="77777777" w:rsidR="005E66DE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1AD8B55" w14:textId="77777777" w:rsidR="005E66DE" w:rsidRDefault="005E66DE" w:rsidP="00E020D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9C71F02" w14:textId="77777777" w:rsidR="005E66DE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6FD757B" w14:textId="77777777" w:rsidR="005E66DE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490BCCA" w14:textId="4F1103C8" w:rsidR="005E66DE" w:rsidRPr="003B16E3" w:rsidRDefault="005E66DE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0439" w14:textId="77777777" w:rsidR="005E66DE" w:rsidRDefault="005E66DE" w:rsidP="00E020DF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14:paraId="5900887D" w14:textId="7042B300" w:rsidR="004412A0" w:rsidRDefault="004412A0" w:rsidP="00E020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2CEC54D" w14:textId="77777777" w:rsidR="004412A0" w:rsidRPr="004412A0" w:rsidRDefault="004412A0" w:rsidP="004412A0">
            <w:pPr>
              <w:rPr>
                <w:rFonts w:ascii="標楷體" w:eastAsia="標楷體" w:hAnsi="標楷體"/>
              </w:rPr>
            </w:pPr>
          </w:p>
          <w:p w14:paraId="3B5240E7" w14:textId="77777777" w:rsidR="004412A0" w:rsidRPr="004412A0" w:rsidRDefault="004412A0" w:rsidP="004412A0">
            <w:pPr>
              <w:rPr>
                <w:rFonts w:ascii="標楷體" w:eastAsia="標楷體" w:hAnsi="標楷體"/>
              </w:rPr>
            </w:pPr>
          </w:p>
          <w:p w14:paraId="14A9D65B" w14:textId="77777777" w:rsidR="004412A0" w:rsidRPr="004412A0" w:rsidRDefault="004412A0" w:rsidP="004412A0">
            <w:pPr>
              <w:rPr>
                <w:rFonts w:ascii="標楷體" w:eastAsia="標楷體" w:hAnsi="標楷體"/>
              </w:rPr>
            </w:pPr>
          </w:p>
          <w:p w14:paraId="26BBB02E" w14:textId="77777777" w:rsidR="004412A0" w:rsidRPr="004412A0" w:rsidRDefault="004412A0" w:rsidP="004412A0">
            <w:pPr>
              <w:rPr>
                <w:rFonts w:ascii="標楷體" w:eastAsia="標楷體" w:hAnsi="標楷體"/>
              </w:rPr>
            </w:pPr>
          </w:p>
          <w:p w14:paraId="264E513F" w14:textId="77777777" w:rsidR="004412A0" w:rsidRPr="004412A0" w:rsidRDefault="004412A0" w:rsidP="004412A0">
            <w:pPr>
              <w:rPr>
                <w:rFonts w:ascii="標楷體" w:eastAsia="標楷體" w:hAnsi="標楷體"/>
              </w:rPr>
            </w:pPr>
          </w:p>
          <w:p w14:paraId="12AE0D18" w14:textId="77777777" w:rsidR="004412A0" w:rsidRPr="004412A0" w:rsidRDefault="004412A0" w:rsidP="004412A0">
            <w:pPr>
              <w:rPr>
                <w:rFonts w:ascii="標楷體" w:eastAsia="標楷體" w:hAnsi="標楷體"/>
              </w:rPr>
            </w:pPr>
          </w:p>
          <w:p w14:paraId="3A1B8EBB" w14:textId="77777777" w:rsidR="004412A0" w:rsidRPr="004412A0" w:rsidRDefault="004412A0" w:rsidP="004412A0">
            <w:pPr>
              <w:rPr>
                <w:rFonts w:ascii="標楷體" w:eastAsia="標楷體" w:hAnsi="標楷體"/>
              </w:rPr>
            </w:pPr>
          </w:p>
          <w:p w14:paraId="734B41F6" w14:textId="77777777" w:rsidR="004412A0" w:rsidRPr="004412A0" w:rsidRDefault="004412A0" w:rsidP="004412A0">
            <w:pPr>
              <w:rPr>
                <w:rFonts w:ascii="標楷體" w:eastAsia="標楷體" w:hAnsi="標楷體"/>
              </w:rPr>
            </w:pPr>
          </w:p>
          <w:p w14:paraId="75DF1344" w14:textId="09F31FA0" w:rsidR="004412A0" w:rsidRPr="004412A0" w:rsidRDefault="004412A0" w:rsidP="0044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  <w:p w14:paraId="49D9F392" w14:textId="292E722E" w:rsidR="005E66DE" w:rsidRPr="004412A0" w:rsidRDefault="005E66DE" w:rsidP="004412A0">
            <w:pPr>
              <w:rPr>
                <w:rFonts w:ascii="標楷體" w:eastAsia="標楷體" w:hAnsi="標楷體"/>
              </w:rPr>
            </w:pPr>
          </w:p>
        </w:tc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4156" w14:textId="77811462" w:rsidR="005E66DE" w:rsidRDefault="005E66DE" w:rsidP="00E020DF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4259DB">
              <w:rPr>
                <w:rFonts w:ascii="標楷體" w:eastAsia="標楷體" w:hAnsi="標楷體" w:hint="eastAsia"/>
                <w:color w:val="000000"/>
              </w:rPr>
              <w:t>本項評估重點於評估期間</w:t>
            </w:r>
            <w:r w:rsidRPr="004259DB">
              <w:rPr>
                <w:rFonts w:ascii="標楷體" w:eastAsia="標楷體" w:hAnsi="標楷體" w:hint="eastAsia"/>
              </w:rPr>
              <w:t>驗收人員已核對交貨數量是否與契約規定相符；現場查驗時，驗收單位已以契約、樣品或竣工圖說為依據。</w:t>
            </w:r>
          </w:p>
          <w:p w14:paraId="30A28F3A" w14:textId="77777777" w:rsidR="00216C9B" w:rsidRPr="00216C9B" w:rsidRDefault="00216C9B" w:rsidP="00E020DF">
            <w:pPr>
              <w:rPr>
                <w:rFonts w:ascii="標楷體" w:eastAsia="標楷體" w:hAnsi="標楷體"/>
              </w:rPr>
            </w:pPr>
          </w:p>
          <w:p w14:paraId="0E8263AD" w14:textId="77777777" w:rsidR="005E66DE" w:rsidRDefault="005E66DE" w:rsidP="00E020DF">
            <w:pPr>
              <w:pStyle w:val="Web"/>
              <w:numPr>
                <w:ilvl w:val="0"/>
                <w:numId w:val="7"/>
              </w:numPr>
              <w:spacing w:before="0" w:beforeAutospacing="0" w:after="0" w:afterAutospacing="0" w:line="280" w:lineRule="exact"/>
              <w:rPr>
                <w:rFonts w:ascii="標楷體" w:eastAsia="標楷體" w:hAnsi="標楷體"/>
                <w:color w:val="000000"/>
              </w:rPr>
            </w:pPr>
            <w:r w:rsidRPr="00041C92">
              <w:rPr>
                <w:rFonts w:ascii="標楷體" w:eastAsia="標楷體" w:hAnsi="標楷體" w:hint="eastAsia"/>
                <w:color w:val="000000"/>
              </w:rPr>
              <w:t>本項評估重點於評估期間</w:t>
            </w:r>
            <w:r>
              <w:rPr>
                <w:rFonts w:ascii="標楷體" w:eastAsia="標楷體" w:hAnsi="標楷體" w:hint="eastAsia"/>
                <w:color w:val="000000"/>
              </w:rPr>
              <w:t>本校未有</w:t>
            </w:r>
            <w:r w:rsidRPr="008853BA">
              <w:rPr>
                <w:rFonts w:ascii="標楷體" w:eastAsia="標楷體" w:hAnsi="標楷體" w:hint="eastAsia"/>
                <w:color w:val="000000"/>
              </w:rPr>
              <w:t>查核金額以上</w:t>
            </w:r>
            <w:r>
              <w:rPr>
                <w:rFonts w:ascii="標楷體" w:eastAsia="標楷體" w:hAnsi="標楷體" w:hint="eastAsia"/>
                <w:color w:val="000000"/>
              </w:rPr>
              <w:t>及發生</w:t>
            </w:r>
            <w:r w:rsidRPr="008853BA">
              <w:rPr>
                <w:rFonts w:ascii="標楷體" w:eastAsia="標楷體" w:hAnsi="標楷體" w:hint="eastAsia"/>
                <w:color w:val="000000"/>
              </w:rPr>
              <w:t>減價收受之採購案，</w:t>
            </w:r>
            <w:r>
              <w:rPr>
                <w:rFonts w:ascii="標楷體" w:eastAsia="標楷體" w:hAnsi="標楷體" w:hint="eastAsia"/>
                <w:color w:val="000000"/>
              </w:rPr>
              <w:t>故尚無發生</w:t>
            </w:r>
            <w:r w:rsidRPr="008853BA">
              <w:rPr>
                <w:rFonts w:ascii="標楷體" w:eastAsia="標楷體" w:hAnsi="標楷體" w:hint="eastAsia"/>
                <w:color w:val="000000"/>
              </w:rPr>
              <w:t>先報經上級機關核准</w:t>
            </w:r>
            <w:r>
              <w:rPr>
                <w:rFonts w:ascii="標楷體" w:eastAsia="標楷體" w:hAnsi="標楷體" w:hint="eastAsia"/>
                <w:color w:val="000000"/>
              </w:rPr>
              <w:t>之情事</w:t>
            </w:r>
            <w:r w:rsidRPr="008853BA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B3698BF" w14:textId="77777777" w:rsidR="005E66DE" w:rsidRPr="003B16E3" w:rsidRDefault="005E66DE" w:rsidP="00E020DF">
            <w:pPr>
              <w:pStyle w:val="Web"/>
              <w:spacing w:before="0" w:beforeAutospacing="0" w:after="0" w:afterAutospacing="0" w:line="280" w:lineRule="exact"/>
              <w:ind w:left="480"/>
              <w:rPr>
                <w:rFonts w:ascii="標楷體" w:eastAsia="標楷體" w:hAnsi="標楷體"/>
                <w:color w:val="000000"/>
              </w:rPr>
            </w:pPr>
          </w:p>
        </w:tc>
      </w:tr>
      <w:tr w:rsidR="008B6696" w:rsidRPr="003B16E3" w14:paraId="167ED5F8" w14:textId="77777777" w:rsidTr="001A24F6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7FF7" w14:textId="5EE011B7" w:rsidR="008B6696" w:rsidRDefault="008B6696" w:rsidP="00E020D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改善措施：</w:t>
            </w:r>
          </w:p>
          <w:p w14:paraId="29B06C1E" w14:textId="77777777" w:rsidR="004259DB" w:rsidRDefault="004259DB" w:rsidP="00E020D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0E549B8C" w14:textId="77777777" w:rsidR="00FF76D6" w:rsidRDefault="00FF76D6" w:rsidP="00E020D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33C48DC0" w14:textId="70307710" w:rsidR="00FF76D6" w:rsidRPr="003B16E3" w:rsidRDefault="00FF76D6" w:rsidP="00E020D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B6696" w:rsidRPr="003B16E3" w14:paraId="1D5C9C43" w14:textId="77777777" w:rsidTr="001A24F6">
        <w:trPr>
          <w:trHeight w:val="509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34F0E" w14:textId="0AE0273E" w:rsidR="008B6696" w:rsidRPr="003B16E3" w:rsidRDefault="008B6696" w:rsidP="00E020D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填表人：      </w:t>
            </w:r>
            <w:r w:rsidR="00F12F5F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bookmarkStart w:id="0" w:name="_GoBack"/>
            <w:bookmarkEnd w:id="0"/>
            <w:r w:rsidRPr="003B16E3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FF76D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B16E3">
              <w:rPr>
                <w:rFonts w:ascii="標楷體" w:eastAsia="標楷體" w:hAnsi="標楷體" w:hint="eastAsia"/>
                <w:color w:val="000000"/>
              </w:rPr>
              <w:t xml:space="preserve">  複核：            </w:t>
            </w:r>
            <w:r w:rsidR="00F12F5F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3B16E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12F5F">
              <w:rPr>
                <w:rFonts w:ascii="標楷體" w:eastAsia="標楷體" w:hAnsi="標楷體" w:hint="eastAsia"/>
                <w:color w:val="000000"/>
              </w:rPr>
              <w:t>單位主管:</w:t>
            </w:r>
          </w:p>
        </w:tc>
      </w:tr>
    </w:tbl>
    <w:p w14:paraId="100DFF43" w14:textId="588EC8BE" w:rsidR="00882957" w:rsidRPr="00882957" w:rsidRDefault="008B6696" w:rsidP="007A7E34">
      <w:pPr>
        <w:adjustRightInd w:val="0"/>
        <w:snapToGrid w:val="0"/>
        <w:spacing w:line="240" w:lineRule="atLeast"/>
        <w:ind w:leftChars="-60" w:left="516" w:rightChars="-10" w:right="-24" w:hangingChars="275" w:hanging="660"/>
        <w:jc w:val="both"/>
        <w:rPr>
          <w:rFonts w:ascii="標楷體" w:eastAsia="標楷體" w:hAnsi="標楷體"/>
        </w:rPr>
      </w:pPr>
      <w:proofErr w:type="gramStart"/>
      <w:r w:rsidRPr="003B16E3">
        <w:rPr>
          <w:rFonts w:ascii="標楷體" w:eastAsia="標楷體" w:hAnsi="標楷體" w:hint="eastAsia"/>
          <w:color w:val="000000"/>
        </w:rPr>
        <w:t>註</w:t>
      </w:r>
      <w:proofErr w:type="gramEnd"/>
      <w:r w:rsidRPr="003B16E3">
        <w:rPr>
          <w:rFonts w:ascii="標楷體" w:eastAsia="標楷體" w:hAnsi="標楷體" w:hint="eastAsia"/>
          <w:color w:val="000000"/>
        </w:rPr>
        <w:t>：</w:t>
      </w:r>
      <w:r w:rsidR="00882957" w:rsidRPr="00882957">
        <w:rPr>
          <w:rFonts w:ascii="標楷體" w:eastAsia="標楷體" w:hAnsi="標楷體" w:hint="eastAsia"/>
        </w:rPr>
        <w:t>1.依評估結果於評估情形欄勾選「落實」、「部分落實」、「未落實」、「未發生」或「不適用」；其中「未發生」係指有評估重點所規範之業務，但評估期間未發生，致無法評估者；「不適用」係指評估期間法令規定或作法已修正，但評估重點未及配合修正者，或無評估重點所規範之業務等。</w:t>
      </w:r>
    </w:p>
    <w:p w14:paraId="0406725A" w14:textId="77777777" w:rsidR="00882957" w:rsidRPr="00882957" w:rsidRDefault="00882957" w:rsidP="007A7E34">
      <w:pPr>
        <w:adjustRightInd w:val="0"/>
        <w:snapToGrid w:val="0"/>
        <w:spacing w:line="240" w:lineRule="atLeast"/>
        <w:ind w:leftChars="105" w:left="516" w:rightChars="-10" w:right="-24" w:hangingChars="110" w:hanging="264"/>
        <w:jc w:val="both"/>
        <w:rPr>
          <w:rFonts w:ascii="標楷體" w:eastAsia="標楷體" w:hAnsi="標楷體"/>
        </w:rPr>
      </w:pPr>
      <w:r w:rsidRPr="00882957">
        <w:rPr>
          <w:rFonts w:ascii="標楷體" w:eastAsia="標楷體" w:hAnsi="標楷體" w:hint="eastAsia"/>
        </w:rPr>
        <w:t>2.「評估</w:t>
      </w:r>
      <w:proofErr w:type="gramStart"/>
      <w:r w:rsidRPr="00882957">
        <w:rPr>
          <w:rFonts w:ascii="標楷體" w:eastAsia="標楷體" w:hAnsi="標楷體" w:hint="eastAsia"/>
        </w:rPr>
        <w:t>期間」</w:t>
      </w:r>
      <w:proofErr w:type="gramEnd"/>
      <w:r w:rsidRPr="00882957">
        <w:rPr>
          <w:rFonts w:ascii="標楷體" w:eastAsia="標楷體" w:hAnsi="標楷體" w:hint="eastAsia"/>
        </w:rPr>
        <w:t>係指本項作業自行評估所涵蓋之期間；「評估日期」指執行該項評估之日期。</w:t>
      </w:r>
    </w:p>
    <w:p w14:paraId="74CD9995" w14:textId="065DA557" w:rsidR="00801C13" w:rsidRPr="00882957" w:rsidRDefault="00801C13" w:rsidP="00882957">
      <w:pPr>
        <w:pStyle w:val="Web"/>
        <w:spacing w:before="0" w:beforeAutospacing="0" w:after="0" w:afterAutospacing="0" w:line="280" w:lineRule="exact"/>
        <w:ind w:leftChars="-239" w:left="844" w:rightChars="-172" w:right="-413" w:hangingChars="591" w:hanging="1418"/>
      </w:pPr>
    </w:p>
    <w:sectPr w:rsidR="00801C13" w:rsidRPr="00882957" w:rsidSect="008B66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C9D87" w14:textId="77777777" w:rsidR="00591360" w:rsidRDefault="00591360" w:rsidP="00C7326D">
      <w:r>
        <w:separator/>
      </w:r>
    </w:p>
  </w:endnote>
  <w:endnote w:type="continuationSeparator" w:id="0">
    <w:p w14:paraId="579955E9" w14:textId="77777777" w:rsidR="00591360" w:rsidRDefault="00591360" w:rsidP="00C7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7B6E7" w14:textId="77777777" w:rsidR="00591360" w:rsidRDefault="00591360" w:rsidP="00C7326D">
      <w:r>
        <w:separator/>
      </w:r>
    </w:p>
  </w:footnote>
  <w:footnote w:type="continuationSeparator" w:id="0">
    <w:p w14:paraId="07F3294F" w14:textId="77777777" w:rsidR="00591360" w:rsidRDefault="00591360" w:rsidP="00C73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222"/>
    <w:multiLevelType w:val="hybridMultilevel"/>
    <w:tmpl w:val="0AC6A88C"/>
    <w:lvl w:ilvl="0" w:tplc="18DAB8E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3A3711"/>
    <w:multiLevelType w:val="hybridMultilevel"/>
    <w:tmpl w:val="EC844D18"/>
    <w:lvl w:ilvl="0" w:tplc="6FFA32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A3645E"/>
    <w:multiLevelType w:val="hybridMultilevel"/>
    <w:tmpl w:val="079ADB56"/>
    <w:lvl w:ilvl="0" w:tplc="7242C3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2949EE"/>
    <w:multiLevelType w:val="hybridMultilevel"/>
    <w:tmpl w:val="F702972C"/>
    <w:lvl w:ilvl="0" w:tplc="178E04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DC141D"/>
    <w:multiLevelType w:val="multilevel"/>
    <w:tmpl w:val="5AF4A7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8B2B2A"/>
    <w:multiLevelType w:val="hybridMultilevel"/>
    <w:tmpl w:val="48987E3C"/>
    <w:lvl w:ilvl="0" w:tplc="816EF1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87216F"/>
    <w:multiLevelType w:val="hybridMultilevel"/>
    <w:tmpl w:val="1B3AE516"/>
    <w:lvl w:ilvl="0" w:tplc="7DB29FA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F52818"/>
    <w:multiLevelType w:val="hybridMultilevel"/>
    <w:tmpl w:val="51B606BC"/>
    <w:lvl w:ilvl="0" w:tplc="E4CA9E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96"/>
    <w:rsid w:val="000D3227"/>
    <w:rsid w:val="00162FEA"/>
    <w:rsid w:val="001746F5"/>
    <w:rsid w:val="001959E0"/>
    <w:rsid w:val="001A24F6"/>
    <w:rsid w:val="001E6DD4"/>
    <w:rsid w:val="00216C9B"/>
    <w:rsid w:val="0023409E"/>
    <w:rsid w:val="002344AC"/>
    <w:rsid w:val="0034337E"/>
    <w:rsid w:val="00392B72"/>
    <w:rsid w:val="003C5B18"/>
    <w:rsid w:val="003E5A5B"/>
    <w:rsid w:val="00413A0A"/>
    <w:rsid w:val="004259DB"/>
    <w:rsid w:val="00431DDF"/>
    <w:rsid w:val="00435FFB"/>
    <w:rsid w:val="004412A0"/>
    <w:rsid w:val="0045439E"/>
    <w:rsid w:val="0048152C"/>
    <w:rsid w:val="00486016"/>
    <w:rsid w:val="00497A87"/>
    <w:rsid w:val="004B4F73"/>
    <w:rsid w:val="004E3704"/>
    <w:rsid w:val="00500EBD"/>
    <w:rsid w:val="00556C79"/>
    <w:rsid w:val="0056397E"/>
    <w:rsid w:val="00591360"/>
    <w:rsid w:val="005B31BD"/>
    <w:rsid w:val="005B53B4"/>
    <w:rsid w:val="005D52B7"/>
    <w:rsid w:val="005E5B0C"/>
    <w:rsid w:val="005E66DE"/>
    <w:rsid w:val="00681CFA"/>
    <w:rsid w:val="006A0635"/>
    <w:rsid w:val="006B5DA3"/>
    <w:rsid w:val="006D2429"/>
    <w:rsid w:val="00760A72"/>
    <w:rsid w:val="007639E2"/>
    <w:rsid w:val="00764F80"/>
    <w:rsid w:val="007955EB"/>
    <w:rsid w:val="007A7E34"/>
    <w:rsid w:val="007C449B"/>
    <w:rsid w:val="008004DF"/>
    <w:rsid w:val="00801C13"/>
    <w:rsid w:val="008079DA"/>
    <w:rsid w:val="0083633D"/>
    <w:rsid w:val="0086045A"/>
    <w:rsid w:val="00882957"/>
    <w:rsid w:val="00892645"/>
    <w:rsid w:val="008B6696"/>
    <w:rsid w:val="00916CCC"/>
    <w:rsid w:val="00955A5A"/>
    <w:rsid w:val="00A15C28"/>
    <w:rsid w:val="00A32E05"/>
    <w:rsid w:val="00A51ED0"/>
    <w:rsid w:val="00B0032D"/>
    <w:rsid w:val="00B570B6"/>
    <w:rsid w:val="00B72018"/>
    <w:rsid w:val="00C22AAB"/>
    <w:rsid w:val="00C70F99"/>
    <w:rsid w:val="00C7326D"/>
    <w:rsid w:val="00C82262"/>
    <w:rsid w:val="00CC4C65"/>
    <w:rsid w:val="00CF7851"/>
    <w:rsid w:val="00D959A7"/>
    <w:rsid w:val="00DA5021"/>
    <w:rsid w:val="00DE7908"/>
    <w:rsid w:val="00E020DF"/>
    <w:rsid w:val="00E112E3"/>
    <w:rsid w:val="00EC42CF"/>
    <w:rsid w:val="00EF7C11"/>
    <w:rsid w:val="00F12F5F"/>
    <w:rsid w:val="00F66164"/>
    <w:rsid w:val="00FF64AE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CAF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96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B66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C7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26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7326D"/>
    <w:pPr>
      <w:ind w:leftChars="200" w:left="480"/>
    </w:pPr>
  </w:style>
  <w:style w:type="paragraph" w:styleId="a8">
    <w:name w:val="No Spacing"/>
    <w:uiPriority w:val="1"/>
    <w:qFormat/>
    <w:rsid w:val="00C7326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CC4C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4C65"/>
  </w:style>
  <w:style w:type="character" w:customStyle="1" w:styleId="ab">
    <w:name w:val="註解文字 字元"/>
    <w:basedOn w:val="a0"/>
    <w:link w:val="aa"/>
    <w:uiPriority w:val="99"/>
    <w:semiHidden/>
    <w:rsid w:val="00CC4C65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4C6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C4C65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C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C4C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96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B66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C7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26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7326D"/>
    <w:pPr>
      <w:ind w:leftChars="200" w:left="480"/>
    </w:pPr>
  </w:style>
  <w:style w:type="paragraph" w:styleId="a8">
    <w:name w:val="No Spacing"/>
    <w:uiPriority w:val="1"/>
    <w:qFormat/>
    <w:rsid w:val="00C7326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CC4C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4C65"/>
  </w:style>
  <w:style w:type="character" w:customStyle="1" w:styleId="ab">
    <w:name w:val="註解文字 字元"/>
    <w:basedOn w:val="a0"/>
    <w:link w:val="aa"/>
    <w:uiPriority w:val="99"/>
    <w:semiHidden/>
    <w:rsid w:val="00CC4C65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4C6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C4C65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C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C4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25</cp:revision>
  <cp:lastPrinted>2024-03-05T05:34:00Z</cp:lastPrinted>
  <dcterms:created xsi:type="dcterms:W3CDTF">2022-09-29T06:10:00Z</dcterms:created>
  <dcterms:modified xsi:type="dcterms:W3CDTF">2025-06-04T00:35:00Z</dcterms:modified>
</cp:coreProperties>
</file>