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snapToGrid w:val="false"/>
        <w:spacing w:lineRule="auto" w:line="276"/>
        <w:ind w:left="480" w:hanging="0"/>
        <w:jc w:val="center"/>
        <w:rPr>
          <w:rFonts w:ascii="Times New Roman" w:hAnsi="Times New Roman" w:eastAsia="標楷體"/>
          <w:color w:val="000000"/>
          <w:sz w:val="28"/>
          <w:szCs w:val="28"/>
        </w:rPr>
      </w:pPr>
      <w:r>
        <w:rPr>
          <w:rFonts w:ascii="Times New Roman" w:hAnsi="Times New Roman" w:eastAsia="標楷體"/>
          <w:color w:val="000000"/>
          <w:sz w:val="28"/>
          <w:szCs w:val="28"/>
        </w:rPr>
        <w:t>「物理科探究與實作工作坊」實施計畫</w:t>
      </w:r>
    </w:p>
    <w:p>
      <w:pPr>
        <w:pStyle w:val="Style21"/>
        <w:numPr>
          <w:ilvl w:val="0"/>
          <w:numId w:val="1"/>
        </w:numPr>
        <w:tabs>
          <w:tab w:val="left" w:pos="0" w:leader="none"/>
        </w:tabs>
        <w:snapToGrid w:val="false"/>
        <w:spacing w:lineRule="auto" w:line="276"/>
        <w:ind w:left="480" w:hanging="480"/>
        <w:rPr>
          <w:rFonts w:ascii="Times New Roman" w:hAnsi="Times New Roman" w:eastAsia="標楷體"/>
          <w:color w:val="000000"/>
          <w:szCs w:val="24"/>
        </w:rPr>
      </w:pPr>
      <w:r>
        <w:rPr>
          <w:rFonts w:ascii="Times New Roman" w:hAnsi="Times New Roman" w:eastAsia="標楷體"/>
          <w:color w:val="000000"/>
          <w:szCs w:val="24"/>
        </w:rPr>
        <w:t>計畫說明</w:t>
      </w:r>
    </w:p>
    <w:p>
      <w:pPr>
        <w:pStyle w:val="Style21"/>
        <w:numPr>
          <w:ilvl w:val="0"/>
          <w:numId w:val="2"/>
        </w:numPr>
        <w:tabs>
          <w:tab w:val="left" w:pos="0" w:leader="none"/>
        </w:tabs>
        <w:snapToGrid w:val="false"/>
        <w:spacing w:lineRule="auto" w:line="276" w:before="180" w:after="0"/>
        <w:ind w:left="1898" w:hanging="480"/>
        <w:rPr>
          <w:rFonts w:ascii="Times New Roman" w:hAnsi="Times New Roman" w:eastAsia="標楷體"/>
          <w:b/>
          <w:b/>
          <w:color w:val="000000"/>
          <w:szCs w:val="24"/>
        </w:rPr>
      </w:pPr>
      <w:r>
        <w:rPr>
          <w:rFonts w:ascii="Times New Roman" w:hAnsi="Times New Roman" w:eastAsia="標楷體"/>
          <w:b/>
          <w:color w:val="000000"/>
          <w:szCs w:val="24"/>
        </w:rPr>
        <w:t>緣起與目的</w:t>
      </w:r>
    </w:p>
    <w:p>
      <w:pPr>
        <w:pStyle w:val="Style21"/>
        <w:snapToGrid w:val="false"/>
        <w:spacing w:lineRule="exact" w:line="400"/>
        <w:ind w:left="958" w:hanging="0"/>
        <w:rPr>
          <w:rFonts w:ascii="Times New Roman" w:hAnsi="Times New Roman" w:eastAsia="標楷體"/>
          <w:color w:val="000000"/>
          <w:szCs w:val="24"/>
        </w:rPr>
      </w:pPr>
      <w:r>
        <w:rPr>
          <w:rFonts w:ascii="Times New Roman" w:hAnsi="Times New Roman" w:eastAsia="標楷體"/>
          <w:color w:val="000000"/>
          <w:szCs w:val="24"/>
        </w:rPr>
        <w:t xml:space="preserve">    </w:t>
      </w:r>
      <w:r>
        <w:rPr>
          <w:rFonts w:eastAsia="標楷體" w:ascii="Times New Roman" w:hAnsi="Times New Roman"/>
          <w:color w:val="000000"/>
          <w:szCs w:val="24"/>
        </w:rPr>
        <w:t>12</w:t>
      </w:r>
      <w:r>
        <w:rPr>
          <w:rFonts w:ascii="Times New Roman" w:hAnsi="Times New Roman" w:eastAsia="標楷體"/>
          <w:color w:val="000000"/>
          <w:szCs w:val="24"/>
        </w:rPr>
        <w:t>年國教新課綱將於</w:t>
      </w:r>
      <w:r>
        <w:rPr>
          <w:rFonts w:eastAsia="標楷體" w:ascii="Times New Roman" w:hAnsi="Times New Roman"/>
          <w:color w:val="000000"/>
          <w:szCs w:val="24"/>
        </w:rPr>
        <w:t>108</w:t>
      </w:r>
      <w:r>
        <w:rPr>
          <w:rFonts w:ascii="Times New Roman" w:hAnsi="Times New Roman" w:eastAsia="標楷體"/>
          <w:color w:val="000000"/>
          <w:szCs w:val="24"/>
        </w:rPr>
        <w:t>學年度實施，新的考招方案也預定於</w:t>
      </w:r>
      <w:r>
        <w:rPr>
          <w:rFonts w:eastAsia="標楷體" w:ascii="Times New Roman" w:hAnsi="Times New Roman"/>
          <w:color w:val="000000"/>
          <w:szCs w:val="24"/>
        </w:rPr>
        <w:t>111</w:t>
      </w:r>
      <w:r>
        <w:rPr>
          <w:rFonts w:ascii="Times New Roman" w:hAnsi="Times New Roman" w:eastAsia="標楷體"/>
          <w:color w:val="000000"/>
          <w:szCs w:val="24"/>
        </w:rPr>
        <w:t>學年度實施，本中心執行教育部補助配合國教新課綱與考招新方案「命題精進與題庫建置」計畫，依規劃於</w:t>
      </w:r>
      <w:r>
        <w:rPr>
          <w:rFonts w:eastAsia="標楷體" w:ascii="Times New Roman" w:hAnsi="Times New Roman"/>
          <w:color w:val="000000"/>
          <w:szCs w:val="24"/>
        </w:rPr>
        <w:t>111</w:t>
      </w:r>
      <w:r>
        <w:rPr>
          <w:rFonts w:ascii="Times New Roman" w:hAnsi="Times New Roman" w:eastAsia="標楷體"/>
          <w:color w:val="000000"/>
          <w:szCs w:val="24"/>
        </w:rPr>
        <w:t>學年度新的入學考試之前，應持續辦理各類型相關會議或提供文宣資料，以及公告試題研發所完成的正式文件，強化宣導與溝通，以利各界了解未來考試的調整。</w:t>
      </w:r>
    </w:p>
    <w:p>
      <w:pPr>
        <w:pStyle w:val="Style21"/>
        <w:snapToGrid w:val="false"/>
        <w:spacing w:lineRule="exact" w:line="400"/>
        <w:ind w:left="958" w:hanging="0"/>
        <w:rPr/>
      </w:pPr>
      <w:r>
        <w:rPr>
          <w:rStyle w:val="Style14"/>
          <w:rFonts w:ascii="Times New Roman" w:hAnsi="Times New Roman" w:eastAsia="標楷體"/>
          <w:color w:val="000000"/>
          <w:szCs w:val="24"/>
        </w:rPr>
        <w:t xml:space="preserve">    </w:t>
      </w:r>
      <w:r>
        <w:rPr>
          <w:rStyle w:val="Style14"/>
          <w:rFonts w:ascii="Times New Roman" w:hAnsi="Times New Roman" w:eastAsia="標楷體"/>
          <w:color w:val="000000"/>
          <w:szCs w:val="24"/>
        </w:rPr>
        <w:t>本次會議的對象以高中學科教師為主，主要目的是協助高中學科教師對於「探究與實作」課程與試題設計的認識。首先，透過分組實作方式，讓老師對特定主題的實驗操作、變因控制、實驗結果紀錄以及結果討論，進行整體流程的認識與了解。首先，透過分組實作方式，讓老師對特定主題的實驗操作、變因控制、實驗結果紀錄以及結果討論，進行整體流程的認識與了解。本次所選擇的主題－</w:t>
      </w:r>
      <w:r>
        <w:rPr>
          <w:rStyle w:val="Style14"/>
          <w:rFonts w:ascii="Times New Roman" w:hAnsi="Times New Roman" w:eastAsia="標楷體"/>
          <w:b/>
          <w:color w:val="000000"/>
          <w:szCs w:val="24"/>
        </w:rPr>
        <w:t>磁鐵運動方式對螺線管內磁場之影響</w:t>
      </w:r>
      <w:r>
        <w:rPr>
          <w:rStyle w:val="Style14"/>
          <w:rFonts w:ascii="Times New Roman" w:hAnsi="Times New Roman" w:eastAsia="標楷體"/>
          <w:color w:val="000000"/>
          <w:szCs w:val="24"/>
        </w:rPr>
        <w:t>，可讓老師了解管內磁場，希望老師們於實作過程，能充分掌握「探究與實作」課程設計的精神。</w:t>
      </w:r>
    </w:p>
    <w:p>
      <w:pPr>
        <w:pStyle w:val="Style21"/>
        <w:snapToGrid w:val="false"/>
        <w:spacing w:lineRule="exact" w:line="400"/>
        <w:ind w:left="958" w:hanging="0"/>
        <w:rPr>
          <w:rFonts w:ascii="Times New Roman" w:hAnsi="Times New Roman" w:eastAsia="標楷體"/>
          <w:color w:val="000000"/>
          <w:szCs w:val="24"/>
        </w:rPr>
      </w:pPr>
      <w:r>
        <w:rPr>
          <w:rFonts w:ascii="Times New Roman" w:hAnsi="Times New Roman" w:eastAsia="標楷體"/>
          <w:color w:val="000000"/>
          <w:szCs w:val="24"/>
        </w:rPr>
        <w:t xml:space="preserve">    </w:t>
      </w:r>
      <w:r>
        <w:rPr>
          <w:rFonts w:ascii="Times New Roman" w:hAnsi="Times New Roman" w:eastAsia="標楷體"/>
          <w:color w:val="000000"/>
          <w:szCs w:val="24"/>
        </w:rPr>
        <w:t>本次工作坊，除了實作流程外，亦提供相關試題設計作為討論，希望能對「探究與實作」的課程設計與評量進行整體的介紹，以作為高中教師在教學與評量之參考。</w:t>
      </w:r>
    </w:p>
    <w:p>
      <w:pPr>
        <w:pStyle w:val="Style21"/>
        <w:numPr>
          <w:ilvl w:val="0"/>
          <w:numId w:val="2"/>
        </w:numPr>
        <w:tabs>
          <w:tab w:val="left" w:pos="0" w:leader="none"/>
        </w:tabs>
        <w:snapToGrid w:val="false"/>
        <w:spacing w:lineRule="exact" w:line="400"/>
        <w:ind w:left="1898" w:hanging="480"/>
        <w:rPr/>
      </w:pPr>
      <w:r>
        <w:rPr>
          <w:rStyle w:val="Style14"/>
          <w:rFonts w:ascii="Times New Roman" w:hAnsi="Times New Roman" w:eastAsia="標楷體"/>
          <w:b/>
          <w:color w:val="000000"/>
          <w:szCs w:val="24"/>
        </w:rPr>
        <w:t>指導單位</w:t>
      </w:r>
      <w:r>
        <w:rPr>
          <w:rStyle w:val="Style14"/>
          <w:rFonts w:ascii="Times New Roman" w:hAnsi="Times New Roman" w:eastAsia="標楷體"/>
          <w:color w:val="000000"/>
          <w:szCs w:val="24"/>
        </w:rPr>
        <w:t>：教育部國民及學前教育署</w:t>
      </w:r>
    </w:p>
    <w:p>
      <w:pPr>
        <w:pStyle w:val="Style21"/>
        <w:numPr>
          <w:ilvl w:val="0"/>
          <w:numId w:val="2"/>
        </w:numPr>
        <w:tabs>
          <w:tab w:val="left" w:pos="0" w:leader="none"/>
        </w:tabs>
        <w:snapToGrid w:val="false"/>
        <w:spacing w:lineRule="exact" w:line="400"/>
        <w:ind w:left="2324" w:hanging="480"/>
        <w:rPr/>
      </w:pPr>
      <w:r>
        <w:rPr>
          <w:rStyle w:val="Style14"/>
          <w:rFonts w:ascii="Times New Roman" w:hAnsi="Times New Roman" w:eastAsia="標楷體"/>
          <w:b/>
          <w:color w:val="000000"/>
          <w:szCs w:val="24"/>
        </w:rPr>
        <w:t>主辦單位</w:t>
      </w:r>
      <w:r>
        <w:rPr>
          <w:rStyle w:val="Style14"/>
          <w:rFonts w:ascii="Times New Roman" w:hAnsi="Times New Roman" w:eastAsia="標楷體"/>
          <w:color w:val="000000"/>
          <w:szCs w:val="24"/>
        </w:rPr>
        <w:t>：大學入學考試中心、物理學科中心、國立臺灣大學物理系</w:t>
      </w:r>
    </w:p>
    <w:p>
      <w:pPr>
        <w:pStyle w:val="Style21"/>
        <w:numPr>
          <w:ilvl w:val="0"/>
          <w:numId w:val="2"/>
        </w:numPr>
        <w:tabs>
          <w:tab w:val="left" w:pos="0" w:leader="none"/>
        </w:tabs>
        <w:snapToGrid w:val="false"/>
        <w:spacing w:lineRule="exact" w:line="400"/>
        <w:ind w:left="1898" w:hanging="480"/>
        <w:rPr>
          <w:rFonts w:ascii="Times New Roman" w:hAnsi="Times New Roman" w:eastAsia="標楷體"/>
          <w:b/>
          <w:b/>
          <w:color w:val="000000"/>
          <w:szCs w:val="24"/>
        </w:rPr>
      </w:pPr>
      <w:r>
        <w:rPr>
          <w:rFonts w:ascii="Times New Roman" w:hAnsi="Times New Roman" w:eastAsia="標楷體"/>
          <w:b/>
          <w:color w:val="000000"/>
          <w:szCs w:val="24"/>
        </w:rPr>
        <w:t>時間與地點</w:t>
      </w:r>
    </w:p>
    <w:p>
      <w:pPr>
        <w:pStyle w:val="Style21"/>
        <w:snapToGrid w:val="false"/>
        <w:spacing w:lineRule="exact" w:line="400"/>
        <w:ind w:left="960" w:hanging="0"/>
        <w:rPr>
          <w:rFonts w:ascii="Times New Roman" w:hAnsi="Times New Roman" w:eastAsia="標楷體"/>
          <w:color w:val="000000"/>
          <w:szCs w:val="24"/>
        </w:rPr>
      </w:pPr>
      <w:r>
        <w:rPr>
          <w:rFonts w:ascii="Times New Roman" w:hAnsi="Times New Roman" w:eastAsia="標楷體"/>
          <w:color w:val="000000"/>
          <w:szCs w:val="24"/>
        </w:rPr>
        <w:t>時  間：民國</w:t>
      </w:r>
      <w:r>
        <w:rPr>
          <w:rFonts w:eastAsia="標楷體" w:ascii="Times New Roman" w:hAnsi="Times New Roman"/>
          <w:color w:val="000000"/>
          <w:szCs w:val="24"/>
        </w:rPr>
        <w:t>110</w:t>
      </w:r>
      <w:r>
        <w:rPr>
          <w:rFonts w:ascii="Times New Roman" w:hAnsi="Times New Roman" w:eastAsia="標楷體"/>
          <w:color w:val="000000"/>
          <w:szCs w:val="24"/>
        </w:rPr>
        <w:t>年</w:t>
      </w:r>
      <w:r>
        <w:rPr>
          <w:rFonts w:eastAsia="標楷體" w:ascii="Times New Roman" w:hAnsi="Times New Roman"/>
          <w:color w:val="000000"/>
          <w:szCs w:val="24"/>
        </w:rPr>
        <w:t>5</w:t>
      </w:r>
      <w:r>
        <w:rPr>
          <w:rFonts w:ascii="Times New Roman" w:hAnsi="Times New Roman" w:eastAsia="標楷體"/>
          <w:color w:val="000000"/>
          <w:szCs w:val="24"/>
        </w:rPr>
        <w:t>月</w:t>
      </w:r>
      <w:r>
        <w:rPr>
          <w:rFonts w:eastAsia="標楷體" w:ascii="Times New Roman" w:hAnsi="Times New Roman"/>
          <w:color w:val="000000"/>
          <w:szCs w:val="24"/>
        </w:rPr>
        <w:t>20</w:t>
      </w:r>
      <w:r>
        <w:rPr>
          <w:rFonts w:ascii="Times New Roman" w:hAnsi="Times New Roman" w:eastAsia="標楷體"/>
          <w:color w:val="000000"/>
          <w:szCs w:val="24"/>
        </w:rPr>
        <w:t>日（四），下午</w:t>
      </w:r>
      <w:r>
        <w:rPr>
          <w:rFonts w:eastAsia="標楷體" w:ascii="Times New Roman" w:hAnsi="Times New Roman"/>
          <w:color w:val="000000"/>
          <w:szCs w:val="24"/>
        </w:rPr>
        <w:t>13</w:t>
      </w:r>
      <w:r>
        <w:rPr>
          <w:rFonts w:ascii="Times New Roman" w:hAnsi="Times New Roman" w:eastAsia="標楷體"/>
          <w:color w:val="000000"/>
          <w:szCs w:val="24"/>
        </w:rPr>
        <w:t>時</w:t>
      </w:r>
      <w:r>
        <w:rPr>
          <w:rFonts w:eastAsia="標楷體" w:ascii="Times New Roman" w:hAnsi="Times New Roman"/>
          <w:color w:val="000000"/>
          <w:szCs w:val="24"/>
        </w:rPr>
        <w:t>00</w:t>
      </w:r>
      <w:r>
        <w:rPr>
          <w:rFonts w:ascii="Times New Roman" w:hAnsi="Times New Roman" w:eastAsia="標楷體"/>
          <w:color w:val="000000"/>
          <w:szCs w:val="24"/>
        </w:rPr>
        <w:t>分至下午</w:t>
      </w:r>
      <w:r>
        <w:rPr>
          <w:rFonts w:eastAsia="標楷體" w:ascii="Times New Roman" w:hAnsi="Times New Roman"/>
          <w:color w:val="000000"/>
          <w:szCs w:val="24"/>
        </w:rPr>
        <w:t>17</w:t>
      </w:r>
      <w:r>
        <w:rPr>
          <w:rFonts w:ascii="Times New Roman" w:hAnsi="Times New Roman" w:eastAsia="標楷體"/>
          <w:color w:val="000000"/>
          <w:szCs w:val="24"/>
        </w:rPr>
        <w:t>時</w:t>
      </w:r>
      <w:r>
        <w:rPr>
          <w:rFonts w:eastAsia="標楷體" w:ascii="Times New Roman" w:hAnsi="Times New Roman"/>
          <w:color w:val="000000"/>
          <w:szCs w:val="24"/>
        </w:rPr>
        <w:t>00</w:t>
      </w:r>
      <w:r>
        <w:rPr>
          <w:rFonts w:ascii="Times New Roman" w:hAnsi="Times New Roman" w:eastAsia="標楷體"/>
          <w:color w:val="000000"/>
          <w:szCs w:val="24"/>
        </w:rPr>
        <w:t>分</w:t>
      </w:r>
    </w:p>
    <w:p>
      <w:pPr>
        <w:pStyle w:val="Style21"/>
        <w:snapToGrid w:val="false"/>
        <w:spacing w:lineRule="exact" w:line="400"/>
        <w:ind w:left="960" w:hanging="0"/>
        <w:rPr>
          <w:rFonts w:ascii="Times New Roman" w:hAnsi="Times New Roman" w:eastAsia="標楷體"/>
          <w:color w:val="000000"/>
          <w:szCs w:val="24"/>
        </w:rPr>
      </w:pPr>
      <w:r>
        <w:rPr>
          <w:rFonts w:ascii="Times New Roman" w:hAnsi="Times New Roman" w:eastAsia="標楷體"/>
          <w:color w:val="000000"/>
          <w:szCs w:val="24"/>
        </w:rPr>
        <w:t>地  點：國立臺南一中科學教育大樓</w:t>
      </w:r>
      <w:r>
        <w:rPr>
          <w:rFonts w:eastAsia="標楷體" w:ascii="Times New Roman" w:hAnsi="Times New Roman"/>
          <w:color w:val="000000"/>
          <w:szCs w:val="24"/>
        </w:rPr>
        <w:t>304</w:t>
      </w:r>
      <w:r>
        <w:rPr>
          <w:rFonts w:ascii="Times New Roman" w:hAnsi="Times New Roman" w:eastAsia="標楷體"/>
          <w:color w:val="000000"/>
          <w:szCs w:val="24"/>
        </w:rPr>
        <w:t>物理實驗室</w:t>
      </w:r>
    </w:p>
    <w:p>
      <w:pPr>
        <w:pStyle w:val="Style21"/>
        <w:numPr>
          <w:ilvl w:val="0"/>
          <w:numId w:val="2"/>
        </w:numPr>
        <w:tabs>
          <w:tab w:val="left" w:pos="0" w:leader="none"/>
        </w:tabs>
        <w:snapToGrid w:val="false"/>
        <w:spacing w:lineRule="exact" w:line="400"/>
        <w:ind w:left="1898" w:hanging="480"/>
        <w:rPr>
          <w:rFonts w:ascii="Times New Roman" w:hAnsi="Times New Roman" w:eastAsia="標楷體"/>
          <w:b/>
          <w:b/>
          <w:color w:val="000000"/>
          <w:szCs w:val="24"/>
        </w:rPr>
      </w:pPr>
      <w:r>
        <w:rPr>
          <w:rFonts w:ascii="Times New Roman" w:hAnsi="Times New Roman" w:eastAsia="標楷體"/>
          <w:b/>
          <w:color w:val="000000"/>
          <w:szCs w:val="24"/>
        </w:rPr>
        <w:t>參加成員</w:t>
      </w:r>
    </w:p>
    <w:p>
      <w:pPr>
        <w:pStyle w:val="Style21"/>
        <w:numPr>
          <w:ilvl w:val="0"/>
          <w:numId w:val="3"/>
        </w:numPr>
        <w:tabs>
          <w:tab w:val="left" w:pos="0" w:leader="none"/>
        </w:tabs>
        <w:snapToGrid w:val="false"/>
        <w:spacing w:lineRule="exact" w:line="400"/>
        <w:ind w:left="2160" w:hanging="720"/>
        <w:rPr>
          <w:rFonts w:ascii="Times New Roman" w:hAnsi="Times New Roman" w:eastAsia="標楷體"/>
          <w:color w:val="000000"/>
          <w:szCs w:val="24"/>
        </w:rPr>
      </w:pPr>
      <w:r>
        <w:rPr>
          <w:rFonts w:ascii="Times New Roman" w:hAnsi="Times New Roman" w:eastAsia="標楷體"/>
          <w:color w:val="000000"/>
          <w:szCs w:val="24"/>
        </w:rPr>
        <w:t>台灣大學物理系傅昭銘教授及普通物理實驗室助教群。</w:t>
      </w:r>
    </w:p>
    <w:p>
      <w:pPr>
        <w:pStyle w:val="Style21"/>
        <w:numPr>
          <w:ilvl w:val="0"/>
          <w:numId w:val="3"/>
        </w:numPr>
        <w:tabs>
          <w:tab w:val="left" w:pos="0" w:leader="none"/>
        </w:tabs>
        <w:snapToGrid w:val="false"/>
        <w:spacing w:lineRule="exact" w:line="400"/>
        <w:ind w:left="2160" w:hanging="720"/>
        <w:rPr>
          <w:rFonts w:ascii="Times New Roman" w:hAnsi="Times New Roman" w:eastAsia="標楷體"/>
          <w:color w:val="000000"/>
          <w:szCs w:val="24"/>
        </w:rPr>
      </w:pPr>
      <w:r>
        <w:rPr>
          <w:rFonts w:ascii="Times New Roman" w:hAnsi="Times New Roman" w:eastAsia="標楷體"/>
          <w:color w:val="000000"/>
          <w:szCs w:val="24"/>
        </w:rPr>
        <w:t>自然領域高中教師，共計</w:t>
      </w:r>
      <w:r>
        <w:rPr>
          <w:rFonts w:eastAsia="標楷體" w:ascii="Times New Roman" w:hAnsi="Times New Roman"/>
          <w:color w:val="000000"/>
          <w:szCs w:val="24"/>
        </w:rPr>
        <w:t>40</w:t>
      </w:r>
      <w:r>
        <w:rPr>
          <w:rFonts w:ascii="Times New Roman" w:hAnsi="Times New Roman" w:eastAsia="標楷體"/>
          <w:color w:val="000000"/>
          <w:szCs w:val="24"/>
        </w:rPr>
        <w:t>位。</w:t>
      </w:r>
    </w:p>
    <w:p>
      <w:pPr>
        <w:pStyle w:val="Style21"/>
        <w:numPr>
          <w:ilvl w:val="0"/>
          <w:numId w:val="3"/>
        </w:numPr>
        <w:tabs>
          <w:tab w:val="left" w:pos="0" w:leader="none"/>
        </w:tabs>
        <w:snapToGrid w:val="false"/>
        <w:spacing w:lineRule="exact" w:line="400"/>
        <w:ind w:left="2160" w:hanging="720"/>
        <w:rPr>
          <w:rFonts w:ascii="Times New Roman" w:hAnsi="Times New Roman" w:eastAsia="標楷體"/>
          <w:color w:val="000000"/>
          <w:szCs w:val="24"/>
        </w:rPr>
      </w:pPr>
      <w:r>
        <w:rPr>
          <w:rFonts w:ascii="Times New Roman" w:hAnsi="Times New Roman" w:eastAsia="標楷體"/>
          <w:color w:val="000000"/>
          <w:szCs w:val="24"/>
        </w:rPr>
        <w:t>大學入學考試中心研究員</w:t>
      </w:r>
      <w:r>
        <w:rPr>
          <w:rFonts w:eastAsia="標楷體" w:ascii="Times New Roman" w:hAnsi="Times New Roman"/>
          <w:color w:val="000000"/>
          <w:szCs w:val="24"/>
        </w:rPr>
        <w:t>4</w:t>
      </w:r>
      <w:r>
        <w:rPr>
          <w:rFonts w:ascii="Times New Roman" w:hAnsi="Times New Roman" w:eastAsia="標楷體"/>
          <w:color w:val="000000"/>
          <w:szCs w:val="24"/>
        </w:rPr>
        <w:t>位。</w:t>
      </w:r>
    </w:p>
    <w:p>
      <w:pPr>
        <w:pStyle w:val="Style21"/>
        <w:numPr>
          <w:ilvl w:val="0"/>
          <w:numId w:val="2"/>
        </w:numPr>
        <w:tabs>
          <w:tab w:val="left" w:pos="0" w:leader="none"/>
        </w:tabs>
        <w:snapToGrid w:val="false"/>
        <w:spacing w:lineRule="exact" w:line="400"/>
        <w:ind w:left="1898" w:hanging="480"/>
        <w:rPr/>
      </w:pPr>
      <w:r>
        <w:rPr>
          <w:rStyle w:val="Style14"/>
          <w:rFonts w:ascii="Times New Roman" w:hAnsi="Times New Roman" w:eastAsia="標楷體"/>
          <w:b/>
          <w:color w:val="000000"/>
          <w:szCs w:val="24"/>
        </w:rPr>
        <w:t>報名方式</w:t>
      </w:r>
      <w:r>
        <w:rPr>
          <w:rStyle w:val="Style14"/>
          <w:rFonts w:ascii="Times New Roman" w:hAnsi="Times New Roman" w:eastAsia="標楷體"/>
          <w:color w:val="000000"/>
          <w:szCs w:val="24"/>
        </w:rPr>
        <w:t>：</w:t>
      </w:r>
    </w:p>
    <w:p>
      <w:pPr>
        <w:pStyle w:val="Style21"/>
        <w:snapToGrid w:val="false"/>
        <w:spacing w:lineRule="exact" w:line="400"/>
        <w:ind w:left="993" w:hanging="0"/>
        <w:rPr/>
      </w:pPr>
      <w:r>
        <w:rPr>
          <w:rStyle w:val="Style14"/>
          <w:rFonts w:ascii="Times New Roman" w:hAnsi="Times New Roman" w:eastAsia="標楷體"/>
          <w:color w:val="000000"/>
          <w:szCs w:val="24"/>
        </w:rPr>
        <w:t>本活動列入教師進修研習課程，全程參與者核予研習時數</w:t>
      </w:r>
      <w:r>
        <w:rPr>
          <w:rStyle w:val="Style14"/>
          <w:rFonts w:eastAsia="標楷體" w:ascii="Times New Roman" w:hAnsi="Times New Roman"/>
          <w:color w:val="000000"/>
          <w:szCs w:val="24"/>
        </w:rPr>
        <w:t>4</w:t>
      </w:r>
      <w:r>
        <w:rPr>
          <w:rStyle w:val="Style14"/>
          <w:rFonts w:ascii="Times New Roman" w:hAnsi="Times New Roman" w:eastAsia="標楷體"/>
          <w:color w:val="000000"/>
          <w:szCs w:val="24"/>
        </w:rPr>
        <w:t>小時，請逕行至教育部全國教師在職進修網</w:t>
      </w:r>
      <w:r>
        <w:rPr>
          <w:rStyle w:val="Style14"/>
          <w:rFonts w:eastAsia="標楷體" w:ascii="Times New Roman" w:hAnsi="Times New Roman"/>
          <w:color w:val="000000"/>
          <w:szCs w:val="24"/>
        </w:rPr>
        <w:t>(http://www4.inservice.edu.tw/)</w:t>
      </w:r>
      <w:r>
        <w:rPr>
          <w:rStyle w:val="Style14"/>
          <w:rFonts w:ascii="Times New Roman" w:hAnsi="Times New Roman" w:eastAsia="標楷體"/>
          <w:color w:val="000000"/>
          <w:szCs w:val="24"/>
        </w:rPr>
        <w:t>登錄報名，俾利研習時數核發。全國教師在職進修網課程代碼：</w:t>
      </w:r>
      <w:r>
        <w:rPr>
          <w:rStyle w:val="Style14"/>
          <w:rFonts w:eastAsia="標楷體" w:ascii="Times New Roman" w:hAnsi="Times New Roman"/>
          <w:b/>
          <w:color w:val="000000"/>
          <w:szCs w:val="24"/>
        </w:rPr>
        <w:t>3100055</w:t>
      </w:r>
    </w:p>
    <w:p>
      <w:pPr>
        <w:pStyle w:val="Style21"/>
        <w:snapToGrid w:val="false"/>
        <w:spacing w:lineRule="exact" w:line="400"/>
        <w:ind w:left="993" w:hanging="0"/>
        <w:rPr>
          <w:rFonts w:ascii="Times New Roman" w:hAnsi="Times New Roman" w:eastAsia="標楷體"/>
          <w:color w:val="000000"/>
          <w:szCs w:val="24"/>
        </w:rPr>
      </w:pPr>
      <w:r>
        <w:rPr>
          <w:rFonts w:ascii="Times New Roman" w:hAnsi="Times New Roman" w:eastAsia="標楷體"/>
          <w:color w:val="000000"/>
          <w:szCs w:val="24"/>
        </w:rPr>
        <w:t>因場地關係，報名名額限制</w:t>
      </w:r>
      <w:r>
        <w:rPr>
          <w:rFonts w:eastAsia="標楷體" w:ascii="Times New Roman" w:hAnsi="Times New Roman"/>
          <w:color w:val="000000"/>
          <w:szCs w:val="24"/>
        </w:rPr>
        <w:t>40</w:t>
      </w:r>
      <w:r>
        <w:rPr>
          <w:rFonts w:ascii="Times New Roman" w:hAnsi="Times New Roman" w:eastAsia="標楷體"/>
          <w:color w:val="000000"/>
          <w:szCs w:val="24"/>
        </w:rPr>
        <w:t>人，額滿為止，敬請見諒。</w:t>
      </w:r>
      <w:r>
        <w:br w:type="page"/>
      </w:r>
    </w:p>
    <w:p>
      <w:pPr>
        <w:pStyle w:val="Style21"/>
        <w:numPr>
          <w:ilvl w:val="0"/>
          <w:numId w:val="2"/>
        </w:numPr>
        <w:tabs>
          <w:tab w:val="left" w:pos="0" w:leader="none"/>
        </w:tabs>
        <w:snapToGrid w:val="false"/>
        <w:spacing w:lineRule="exact" w:line="400"/>
        <w:ind w:left="1898" w:hanging="480"/>
        <w:rPr>
          <w:rFonts w:ascii="Times New Roman" w:hAnsi="Times New Roman" w:eastAsia="標楷體"/>
          <w:b/>
          <w:b/>
          <w:color w:val="000000"/>
          <w:szCs w:val="24"/>
        </w:rPr>
      </w:pPr>
      <w:r>
        <w:rPr>
          <w:rFonts w:ascii="Times New Roman" w:hAnsi="Times New Roman" w:eastAsia="標楷體"/>
          <w:b/>
          <w:color w:val="000000"/>
          <w:szCs w:val="24"/>
        </w:rPr>
        <w:t>實施方式</w:t>
      </w:r>
    </w:p>
    <w:p>
      <w:pPr>
        <w:pStyle w:val="Style21"/>
        <w:snapToGrid w:val="false"/>
        <w:spacing w:lineRule="exact" w:line="400"/>
        <w:ind w:left="960" w:hanging="0"/>
        <w:rPr>
          <w:rFonts w:ascii="Times New Roman" w:hAnsi="Times New Roman" w:eastAsia="標楷體"/>
          <w:color w:val="000000"/>
          <w:szCs w:val="24"/>
        </w:rPr>
      </w:pPr>
      <w:r>
        <w:rPr>
          <w:rFonts w:ascii="Times New Roman" w:hAnsi="Times New Roman" w:eastAsia="標楷體"/>
          <w:color w:val="000000"/>
          <w:szCs w:val="24"/>
        </w:rPr>
        <w:t>本計畫的實施方式，可分成兩個部分：</w:t>
      </w:r>
    </w:p>
    <w:p>
      <w:pPr>
        <w:pStyle w:val="Style21"/>
        <w:snapToGrid w:val="false"/>
        <w:spacing w:lineRule="exact" w:line="400"/>
        <w:ind w:left="960" w:hanging="0"/>
        <w:rPr>
          <w:rFonts w:ascii="Times New Roman" w:hAnsi="Times New Roman" w:eastAsia="標楷體"/>
          <w:color w:val="000000"/>
          <w:szCs w:val="24"/>
        </w:rPr>
      </w:pPr>
      <w:r>
        <w:rPr>
          <w:rFonts w:ascii="Times New Roman" w:hAnsi="Times New Roman" w:eastAsia="標楷體"/>
          <w:color w:val="000000"/>
          <w:szCs w:val="24"/>
        </w:rPr>
        <w:t>（一）探究與實作工作坊：</w:t>
      </w:r>
    </w:p>
    <w:p>
      <w:pPr>
        <w:pStyle w:val="Style21"/>
        <w:snapToGrid w:val="false"/>
        <w:spacing w:lineRule="exact" w:line="400"/>
        <w:ind w:left="1560" w:hanging="240"/>
        <w:rPr>
          <w:rFonts w:ascii="Times New Roman" w:hAnsi="Times New Roman" w:eastAsia="標楷體"/>
          <w:color w:val="000000"/>
          <w:szCs w:val="24"/>
        </w:rPr>
      </w:pPr>
      <w:r>
        <w:rPr>
          <w:rFonts w:eastAsia="標楷體" w:ascii="Times New Roman" w:hAnsi="Times New Roman"/>
          <w:color w:val="000000"/>
          <w:szCs w:val="24"/>
        </w:rPr>
        <w:t xml:space="preserve">1. </w:t>
      </w:r>
      <w:r>
        <w:rPr>
          <w:rFonts w:ascii="Times New Roman" w:hAnsi="Times New Roman" w:eastAsia="標楷體"/>
          <w:color w:val="000000"/>
          <w:szCs w:val="24"/>
        </w:rPr>
        <w:t>實證科學與物理教學策略：以物理探究實驗以建構理論模式的方法與意義，以及探析啓發建構學習的教學策略。</w:t>
      </w:r>
    </w:p>
    <w:p>
      <w:pPr>
        <w:pStyle w:val="Style21"/>
        <w:snapToGrid w:val="false"/>
        <w:spacing w:lineRule="exact" w:line="400"/>
        <w:ind w:left="1560" w:hanging="240"/>
        <w:rPr>
          <w:rFonts w:ascii="Times New Roman" w:hAnsi="Times New Roman" w:eastAsia="標楷體"/>
          <w:color w:val="000000"/>
          <w:szCs w:val="24"/>
        </w:rPr>
      </w:pPr>
      <w:r>
        <w:rPr>
          <w:rFonts w:eastAsia="標楷體" w:ascii="Times New Roman" w:hAnsi="Times New Roman"/>
          <w:color w:val="000000"/>
          <w:szCs w:val="24"/>
        </w:rPr>
        <w:t xml:space="preserve">2. </w:t>
      </w:r>
      <w:r>
        <w:rPr>
          <w:rFonts w:ascii="Times New Roman" w:hAnsi="Times New Roman" w:eastAsia="標楷體"/>
          <w:color w:val="000000"/>
          <w:szCs w:val="24"/>
        </w:rPr>
        <w:t>物理實驗實作：工作坊中教師分組動手操作實驗，經由問題探討，觀察實驗現象，探討影響因素，設計實驗與系統化操作，並分析數據建立半經驗式及建構理論模式。</w:t>
      </w:r>
    </w:p>
    <w:p>
      <w:pPr>
        <w:pStyle w:val="Style21"/>
        <w:snapToGrid w:val="false"/>
        <w:spacing w:lineRule="exact" w:line="400"/>
        <w:ind w:left="1560" w:hanging="240"/>
        <w:rPr>
          <w:rFonts w:ascii="Times New Roman" w:hAnsi="Times New Roman" w:eastAsia="標楷體"/>
          <w:color w:val="000000"/>
          <w:szCs w:val="24"/>
        </w:rPr>
      </w:pPr>
      <w:r>
        <w:rPr>
          <w:rFonts w:eastAsia="標楷體" w:ascii="Times New Roman" w:hAnsi="Times New Roman"/>
          <w:color w:val="000000"/>
          <w:szCs w:val="24"/>
        </w:rPr>
        <w:t xml:space="preserve">3. </w:t>
      </w:r>
      <w:r>
        <w:rPr>
          <w:rFonts w:ascii="Times New Roman" w:hAnsi="Times New Roman" w:eastAsia="標楷體"/>
          <w:color w:val="000000"/>
          <w:szCs w:val="24"/>
        </w:rPr>
        <w:t>探究過程轉換成探究與實作之命題：以實驗建構理論的科學方法論、探究實驗之啓發建構學習意義，以及作為跨學科實驗或應用設計的基礎。</w:t>
      </w:r>
    </w:p>
    <w:p>
      <w:pPr>
        <w:pStyle w:val="Style21"/>
        <w:snapToGrid w:val="false"/>
        <w:spacing w:lineRule="exact" w:line="400"/>
        <w:ind w:left="1560" w:hanging="240"/>
        <w:rPr>
          <w:rFonts w:ascii="Times New Roman" w:hAnsi="Times New Roman" w:eastAsia="標楷體"/>
          <w:color w:val="000000"/>
          <w:szCs w:val="24"/>
        </w:rPr>
      </w:pPr>
      <w:r>
        <w:rPr>
          <w:rFonts w:eastAsia="標楷體" w:ascii="Times New Roman" w:hAnsi="Times New Roman"/>
          <w:color w:val="000000"/>
          <w:szCs w:val="24"/>
        </w:rPr>
        <w:t xml:space="preserve">4. </w:t>
      </w:r>
      <w:r>
        <w:rPr>
          <w:rFonts w:ascii="Times New Roman" w:hAnsi="Times New Roman" w:eastAsia="標楷體"/>
          <w:color w:val="000000"/>
          <w:szCs w:val="24"/>
        </w:rPr>
        <w:t>試題命製：瞭解以物理以實驗建構理論的科學方法論、探究實驗之啓發建構學習意義，以及作為跨學科實驗或應用設計的基礎以探究與實作內涵設計評量及試題，以及探析有效教學與評量實務經驗。</w:t>
      </w:r>
    </w:p>
    <w:p>
      <w:pPr>
        <w:pStyle w:val="Style21"/>
        <w:snapToGrid w:val="false"/>
        <w:spacing w:lineRule="exact" w:line="400"/>
        <w:ind w:left="960" w:hanging="0"/>
        <w:rPr>
          <w:rFonts w:ascii="Times New Roman" w:hAnsi="Times New Roman" w:eastAsia="標楷體"/>
          <w:color w:val="000000"/>
          <w:szCs w:val="24"/>
        </w:rPr>
      </w:pPr>
      <w:r>
        <w:rPr>
          <w:rFonts w:ascii="Times New Roman" w:hAnsi="Times New Roman" w:eastAsia="標楷體"/>
          <w:color w:val="000000"/>
          <w:szCs w:val="24"/>
        </w:rPr>
        <w:t>（一）心得分享：</w:t>
      </w:r>
    </w:p>
    <w:p>
      <w:pPr>
        <w:pStyle w:val="Style21"/>
        <w:snapToGrid w:val="false"/>
        <w:spacing w:lineRule="exact" w:line="400"/>
        <w:ind w:left="1560" w:hanging="120"/>
        <w:rPr>
          <w:rFonts w:ascii="Times New Roman" w:hAnsi="Times New Roman" w:eastAsia="標楷體"/>
          <w:color w:val="000000"/>
          <w:szCs w:val="24"/>
        </w:rPr>
      </w:pPr>
      <w:r>
        <w:rPr>
          <w:rFonts w:eastAsia="標楷體" w:ascii="Times New Roman" w:hAnsi="Times New Roman"/>
          <w:color w:val="000000"/>
          <w:szCs w:val="24"/>
        </w:rPr>
        <w:t>1.</w:t>
      </w:r>
      <w:r>
        <w:rPr>
          <w:rFonts w:ascii="Times New Roman" w:hAnsi="Times New Roman" w:eastAsia="標楷體"/>
          <w:color w:val="000000"/>
          <w:szCs w:val="24"/>
        </w:rPr>
        <w:t>心得分享：各科將邀請</w:t>
      </w:r>
      <w:r>
        <w:rPr>
          <w:rFonts w:eastAsia="標楷體" w:ascii="Times New Roman" w:hAnsi="Times New Roman"/>
          <w:color w:val="000000"/>
          <w:szCs w:val="24"/>
        </w:rPr>
        <w:t>1-2</w:t>
      </w:r>
      <w:r>
        <w:rPr>
          <w:rFonts w:ascii="Times New Roman" w:hAnsi="Times New Roman" w:eastAsia="標楷體"/>
          <w:color w:val="000000"/>
          <w:szCs w:val="24"/>
        </w:rPr>
        <w:t>位高中教師，針對命題、探究與實作工作坊提供心得報告，作為高中教師專業成長的參考。</w:t>
      </w:r>
    </w:p>
    <w:p>
      <w:pPr>
        <w:pStyle w:val="Style21"/>
        <w:snapToGrid w:val="false"/>
        <w:spacing w:lineRule="auto" w:line="276"/>
        <w:ind w:left="989" w:firstLine="2"/>
        <w:rPr>
          <w:rFonts w:ascii="Times New Roman" w:hAnsi="Times New Roman" w:eastAsia="標楷體"/>
          <w:color w:val="000000"/>
          <w:szCs w:val="24"/>
        </w:rPr>
      </w:pPr>
      <w:r>
        <w:rPr>
          <w:rFonts w:eastAsia="標楷體" w:ascii="Times New Roman" w:hAnsi="Times New Roman"/>
          <w:color w:val="000000"/>
          <w:szCs w:val="24"/>
        </w:rPr>
      </w:r>
    </w:p>
    <w:p>
      <w:pPr>
        <w:pStyle w:val="Style21"/>
        <w:numPr>
          <w:ilvl w:val="0"/>
          <w:numId w:val="1"/>
        </w:numPr>
        <w:tabs>
          <w:tab w:val="left" w:pos="0" w:leader="none"/>
        </w:tabs>
        <w:snapToGrid w:val="false"/>
        <w:spacing w:lineRule="auto" w:line="276"/>
        <w:ind w:left="480" w:hanging="480"/>
        <w:rPr>
          <w:rFonts w:ascii="Times New Roman" w:hAnsi="Times New Roman" w:eastAsia="標楷體"/>
          <w:color w:val="000000"/>
          <w:szCs w:val="24"/>
        </w:rPr>
      </w:pPr>
      <w:r>
        <w:rPr>
          <w:rFonts w:ascii="Times New Roman" w:hAnsi="Times New Roman" w:eastAsia="標楷體"/>
          <w:color w:val="000000"/>
          <w:szCs w:val="24"/>
        </w:rPr>
        <w:t>議程</w:t>
      </w:r>
    </w:p>
    <w:tbl>
      <w:tblPr>
        <w:tblW w:w="9180"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809"/>
        <w:gridCol w:w="4253"/>
        <w:gridCol w:w="3118"/>
      </w:tblGrid>
      <w:tr>
        <w:trPr/>
        <w:tc>
          <w:tcPr>
            <w:tcW w:w="180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spacing w:lineRule="auto" w:line="276"/>
              <w:ind w:left="0" w:hanging="0"/>
              <w:jc w:val="center"/>
              <w:rPr>
                <w:rFonts w:ascii="標楷體" w:hAnsi="標楷體" w:eastAsia="標楷體"/>
                <w:color w:val="000000"/>
                <w:szCs w:val="24"/>
              </w:rPr>
            </w:pPr>
            <w:r>
              <w:rPr>
                <w:rFonts w:ascii="標楷體" w:hAnsi="標楷體" w:eastAsia="標楷體"/>
                <w:color w:val="000000"/>
                <w:szCs w:val="24"/>
              </w:rPr>
              <w:t>時間</w:t>
            </w:r>
          </w:p>
        </w:tc>
        <w:tc>
          <w:tcPr>
            <w:tcW w:w="73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spacing w:lineRule="auto" w:line="276"/>
              <w:ind w:left="0" w:hanging="0"/>
              <w:jc w:val="center"/>
              <w:rPr>
                <w:rFonts w:ascii="標楷體" w:hAnsi="標楷體" w:eastAsia="標楷體"/>
                <w:color w:val="000000"/>
                <w:szCs w:val="24"/>
              </w:rPr>
            </w:pPr>
            <w:r>
              <w:rPr>
                <w:rFonts w:eastAsia="標楷體" w:ascii="標楷體" w:hAnsi="標楷體"/>
                <w:color w:val="000000"/>
                <w:szCs w:val="24"/>
              </w:rPr>
              <w:t>5</w:t>
            </w:r>
            <w:r>
              <w:rPr>
                <w:rFonts w:ascii="標楷體" w:hAnsi="標楷體" w:eastAsia="標楷體"/>
                <w:color w:val="000000"/>
                <w:szCs w:val="24"/>
              </w:rPr>
              <w:t>月</w:t>
            </w:r>
            <w:r>
              <w:rPr>
                <w:rFonts w:eastAsia="標楷體" w:ascii="標楷體" w:hAnsi="標楷體"/>
                <w:color w:val="000000"/>
                <w:szCs w:val="24"/>
              </w:rPr>
              <w:t>20</w:t>
            </w:r>
            <w:r>
              <w:rPr>
                <w:rFonts w:ascii="標楷體" w:hAnsi="標楷體" w:eastAsia="標楷體"/>
                <w:color w:val="000000"/>
                <w:szCs w:val="24"/>
              </w:rPr>
              <w:t>日（星期四）</w:t>
            </w:r>
          </w:p>
        </w:tc>
      </w:tr>
      <w:tr>
        <w:trPr/>
        <w:tc>
          <w:tcPr>
            <w:tcW w:w="18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2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spacing w:lineRule="auto" w:line="276"/>
              <w:ind w:left="0" w:hanging="0"/>
              <w:jc w:val="center"/>
              <w:rPr>
                <w:rFonts w:ascii="標楷體" w:hAnsi="標楷體" w:eastAsia="標楷體"/>
                <w:color w:val="000000"/>
                <w:szCs w:val="24"/>
              </w:rPr>
            </w:pPr>
            <w:r>
              <w:rPr>
                <w:rFonts w:ascii="標楷體" w:hAnsi="標楷體" w:eastAsia="標楷體"/>
                <w:color w:val="000000"/>
                <w:szCs w:val="24"/>
              </w:rPr>
              <w:t>內容</w:t>
            </w:r>
          </w:p>
        </w:tc>
        <w:tc>
          <w:tcPr>
            <w:tcW w:w="31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spacing w:lineRule="auto" w:line="276"/>
              <w:ind w:left="0" w:hanging="0"/>
              <w:jc w:val="center"/>
              <w:rPr>
                <w:rFonts w:ascii="標楷體" w:hAnsi="標楷體" w:eastAsia="標楷體"/>
                <w:color w:val="000000"/>
                <w:szCs w:val="24"/>
              </w:rPr>
            </w:pPr>
            <w:r>
              <w:rPr>
                <w:rFonts w:ascii="標楷體" w:hAnsi="標楷體" w:eastAsia="標楷體"/>
                <w:color w:val="000000"/>
                <w:szCs w:val="24"/>
              </w:rPr>
              <w:t>負責人員</w:t>
            </w:r>
          </w:p>
        </w:tc>
      </w:tr>
      <w:tr>
        <w:trPr/>
        <w:tc>
          <w:tcPr>
            <w:tcW w:w="1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exact" w:line="280"/>
              <w:jc w:val="center"/>
              <w:rPr>
                <w:rFonts w:ascii="標楷體" w:hAnsi="標楷體" w:eastAsia="標楷體"/>
              </w:rPr>
            </w:pPr>
            <w:r>
              <w:rPr>
                <w:rFonts w:eastAsia="標楷體" w:ascii="標楷體" w:hAnsi="標楷體"/>
              </w:rPr>
              <w:t>13</w:t>
            </w:r>
            <w:r>
              <w:rPr>
                <w:rFonts w:ascii="標楷體" w:hAnsi="標楷體" w:eastAsia="標楷體"/>
              </w:rPr>
              <w:t>：</w:t>
            </w:r>
            <w:r>
              <w:rPr>
                <w:rFonts w:eastAsia="標楷體" w:ascii="標楷體" w:hAnsi="標楷體"/>
              </w:rPr>
              <w:t>00-13</w:t>
            </w:r>
            <w:r>
              <w:rPr>
                <w:rFonts w:ascii="標楷體" w:hAnsi="標楷體" w:eastAsia="標楷體"/>
              </w:rPr>
              <w:t>：</w:t>
            </w:r>
            <w:r>
              <w:rPr>
                <w:rFonts w:eastAsia="標楷體" w:ascii="標楷體" w:hAnsi="標楷體"/>
              </w:rPr>
              <w:t>30</w:t>
            </w:r>
          </w:p>
        </w:tc>
        <w:tc>
          <w:tcPr>
            <w:tcW w:w="42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spacing w:lineRule="auto" w:line="276"/>
              <w:ind w:left="0" w:hanging="0"/>
              <w:jc w:val="center"/>
              <w:rPr>
                <w:rFonts w:ascii="標楷體" w:hAnsi="標楷體" w:eastAsia="標楷體"/>
                <w:color w:val="000000"/>
                <w:szCs w:val="24"/>
              </w:rPr>
            </w:pPr>
            <w:r>
              <w:rPr>
                <w:rFonts w:ascii="標楷體" w:hAnsi="標楷體" w:eastAsia="標楷體"/>
                <w:color w:val="000000"/>
                <w:szCs w:val="24"/>
              </w:rPr>
              <w:t>報到</w:t>
            </w:r>
          </w:p>
        </w:tc>
        <w:tc>
          <w:tcPr>
            <w:tcW w:w="31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spacing w:lineRule="auto" w:line="276"/>
              <w:ind w:left="0" w:hanging="0"/>
              <w:jc w:val="center"/>
              <w:rPr>
                <w:rFonts w:ascii="標楷體" w:hAnsi="標楷體" w:eastAsia="標楷體"/>
                <w:color w:val="000000"/>
                <w:szCs w:val="24"/>
              </w:rPr>
            </w:pPr>
            <w:r>
              <w:rPr>
                <w:rFonts w:eastAsia="標楷體" w:ascii="標楷體" w:hAnsi="標楷體"/>
                <w:color w:val="000000"/>
                <w:szCs w:val="24"/>
              </w:rPr>
            </w:r>
          </w:p>
        </w:tc>
      </w:tr>
      <w:tr>
        <w:trPr/>
        <w:tc>
          <w:tcPr>
            <w:tcW w:w="1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exact" w:line="280"/>
              <w:jc w:val="center"/>
              <w:rPr>
                <w:rFonts w:ascii="標楷體" w:hAnsi="標楷體" w:eastAsia="標楷體"/>
              </w:rPr>
            </w:pPr>
            <w:r>
              <w:rPr>
                <w:rFonts w:eastAsia="標楷體" w:ascii="標楷體" w:hAnsi="標楷體"/>
              </w:rPr>
              <w:t>13</w:t>
            </w:r>
            <w:r>
              <w:rPr>
                <w:rFonts w:ascii="標楷體" w:hAnsi="標楷體" w:eastAsia="標楷體"/>
              </w:rPr>
              <w:t>：</w:t>
            </w:r>
            <w:r>
              <w:rPr>
                <w:rFonts w:eastAsia="標楷體" w:ascii="標楷體" w:hAnsi="標楷體"/>
              </w:rPr>
              <w:t>30-15</w:t>
            </w:r>
            <w:r>
              <w:rPr>
                <w:rFonts w:ascii="標楷體" w:hAnsi="標楷體" w:eastAsia="標楷體"/>
              </w:rPr>
              <w:t>：</w:t>
            </w:r>
            <w:r>
              <w:rPr>
                <w:rFonts w:eastAsia="標楷體" w:ascii="標楷體" w:hAnsi="標楷體"/>
              </w:rPr>
              <w:t>00</w:t>
            </w:r>
          </w:p>
        </w:tc>
        <w:tc>
          <w:tcPr>
            <w:tcW w:w="42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spacing w:lineRule="auto" w:line="276"/>
              <w:ind w:left="0" w:hanging="0"/>
              <w:jc w:val="center"/>
              <w:rPr>
                <w:rFonts w:ascii="標楷體" w:hAnsi="標楷體" w:eastAsia="標楷體"/>
                <w:color w:val="000000"/>
                <w:szCs w:val="24"/>
              </w:rPr>
            </w:pPr>
            <w:r>
              <w:rPr>
                <w:rFonts w:ascii="標楷體" w:hAnsi="標楷體" w:eastAsia="標楷體"/>
                <w:color w:val="000000"/>
                <w:szCs w:val="24"/>
              </w:rPr>
              <w:t>探究實作實驗說明</w:t>
            </w:r>
            <w:r>
              <w:rPr>
                <w:rFonts w:eastAsia="標楷體" w:ascii="標楷體" w:hAnsi="標楷體"/>
                <w:color w:val="000000"/>
                <w:szCs w:val="24"/>
              </w:rPr>
              <w:t>-</w:t>
            </w:r>
            <w:r>
              <w:rPr>
                <w:rFonts w:ascii="標楷體" w:hAnsi="標楷體" w:eastAsia="標楷體"/>
                <w:color w:val="000000"/>
                <w:szCs w:val="24"/>
              </w:rPr>
              <w:t>電磁感應探究實驗</w:t>
            </w:r>
          </w:p>
        </w:tc>
        <w:tc>
          <w:tcPr>
            <w:tcW w:w="31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spacing w:lineRule="auto" w:line="276"/>
              <w:ind w:left="0" w:hanging="0"/>
              <w:jc w:val="center"/>
              <w:rPr>
                <w:rFonts w:ascii="標楷體" w:hAnsi="標楷體" w:eastAsia="標楷體"/>
                <w:color w:val="000000"/>
                <w:szCs w:val="24"/>
              </w:rPr>
            </w:pPr>
            <w:r>
              <w:rPr>
                <w:rFonts w:ascii="標楷體" w:hAnsi="標楷體" w:eastAsia="標楷體"/>
                <w:color w:val="000000"/>
                <w:szCs w:val="24"/>
              </w:rPr>
              <w:t>傅昭銘教授</w:t>
            </w:r>
          </w:p>
          <w:p>
            <w:pPr>
              <w:pStyle w:val="Style21"/>
              <w:snapToGrid w:val="false"/>
              <w:spacing w:lineRule="auto" w:line="276"/>
              <w:ind w:left="0" w:hanging="0"/>
              <w:jc w:val="center"/>
              <w:rPr>
                <w:rFonts w:ascii="標楷體" w:hAnsi="標楷體" w:eastAsia="標楷體"/>
                <w:color w:val="000000"/>
                <w:szCs w:val="24"/>
              </w:rPr>
            </w:pPr>
            <w:r>
              <w:rPr>
                <w:rFonts w:ascii="標楷體" w:hAnsi="標楷體" w:eastAsia="標楷體"/>
                <w:color w:val="000000"/>
                <w:szCs w:val="24"/>
              </w:rPr>
              <w:t>普通物理實驗室助教群</w:t>
            </w:r>
          </w:p>
        </w:tc>
      </w:tr>
      <w:tr>
        <w:trPr/>
        <w:tc>
          <w:tcPr>
            <w:tcW w:w="1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exact" w:line="280"/>
              <w:jc w:val="center"/>
              <w:rPr>
                <w:rFonts w:ascii="標楷體" w:hAnsi="標楷體" w:eastAsia="標楷體"/>
              </w:rPr>
            </w:pPr>
            <w:r>
              <w:rPr>
                <w:rFonts w:eastAsia="標楷體" w:ascii="標楷體" w:hAnsi="標楷體"/>
              </w:rPr>
              <w:t>15</w:t>
            </w:r>
            <w:r>
              <w:rPr>
                <w:rFonts w:ascii="標楷體" w:hAnsi="標楷體" w:eastAsia="標楷體"/>
              </w:rPr>
              <w:t>：</w:t>
            </w:r>
            <w:r>
              <w:rPr>
                <w:rFonts w:eastAsia="標楷體" w:ascii="標楷體" w:hAnsi="標楷體"/>
              </w:rPr>
              <w:t>00-15</w:t>
            </w:r>
            <w:r>
              <w:rPr>
                <w:rFonts w:ascii="標楷體" w:hAnsi="標楷體" w:eastAsia="標楷體"/>
              </w:rPr>
              <w:t>：</w:t>
            </w:r>
            <w:r>
              <w:rPr>
                <w:rFonts w:eastAsia="標楷體" w:ascii="標楷體" w:hAnsi="標楷體"/>
              </w:rPr>
              <w:t>20</w:t>
            </w:r>
          </w:p>
        </w:tc>
        <w:tc>
          <w:tcPr>
            <w:tcW w:w="42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spacing w:lineRule="auto" w:line="276"/>
              <w:ind w:left="0" w:hanging="0"/>
              <w:jc w:val="center"/>
              <w:rPr>
                <w:rFonts w:ascii="標楷體" w:hAnsi="標楷體" w:eastAsia="標楷體"/>
                <w:color w:val="000000"/>
                <w:szCs w:val="24"/>
              </w:rPr>
            </w:pPr>
            <w:r>
              <w:rPr>
                <w:rFonts w:ascii="標楷體" w:hAnsi="標楷體" w:eastAsia="標楷體"/>
                <w:color w:val="000000"/>
                <w:szCs w:val="24"/>
              </w:rPr>
              <w:t>休息</w:t>
            </w:r>
          </w:p>
        </w:tc>
        <w:tc>
          <w:tcPr>
            <w:tcW w:w="31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spacing w:lineRule="auto" w:line="276"/>
              <w:ind w:left="0" w:hanging="0"/>
              <w:jc w:val="center"/>
              <w:rPr>
                <w:rFonts w:ascii="標楷體" w:hAnsi="標楷體" w:eastAsia="標楷體"/>
                <w:color w:val="000000"/>
                <w:szCs w:val="24"/>
              </w:rPr>
            </w:pPr>
            <w:r>
              <w:rPr>
                <w:rFonts w:eastAsia="標楷體" w:ascii="標楷體" w:hAnsi="標楷體"/>
                <w:color w:val="000000"/>
                <w:szCs w:val="24"/>
              </w:rPr>
            </w:r>
          </w:p>
        </w:tc>
      </w:tr>
      <w:tr>
        <w:trPr/>
        <w:tc>
          <w:tcPr>
            <w:tcW w:w="1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exact" w:line="280"/>
              <w:jc w:val="center"/>
              <w:rPr>
                <w:rFonts w:ascii="標楷體" w:hAnsi="標楷體" w:eastAsia="標楷體"/>
              </w:rPr>
            </w:pPr>
            <w:r>
              <w:rPr>
                <w:rFonts w:eastAsia="標楷體" w:ascii="標楷體" w:hAnsi="標楷體"/>
              </w:rPr>
              <w:t>15</w:t>
            </w:r>
            <w:r>
              <w:rPr>
                <w:rFonts w:ascii="標楷體" w:hAnsi="標楷體" w:eastAsia="標楷體"/>
              </w:rPr>
              <w:t>：</w:t>
            </w:r>
            <w:r>
              <w:rPr>
                <w:rFonts w:eastAsia="標楷體" w:ascii="標楷體" w:hAnsi="標楷體"/>
              </w:rPr>
              <w:t>20-16</w:t>
            </w:r>
            <w:r>
              <w:rPr>
                <w:rFonts w:ascii="標楷體" w:hAnsi="標楷體" w:eastAsia="標楷體"/>
              </w:rPr>
              <w:t>：</w:t>
            </w:r>
            <w:r>
              <w:rPr>
                <w:rFonts w:eastAsia="標楷體" w:ascii="標楷體" w:hAnsi="標楷體"/>
              </w:rPr>
              <w:t>50</w:t>
            </w:r>
          </w:p>
        </w:tc>
        <w:tc>
          <w:tcPr>
            <w:tcW w:w="42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spacing w:lineRule="auto" w:line="276"/>
              <w:ind w:left="0" w:hanging="0"/>
              <w:jc w:val="center"/>
              <w:rPr>
                <w:rFonts w:ascii="標楷體" w:hAnsi="標楷體" w:eastAsia="標楷體"/>
                <w:color w:val="000000"/>
                <w:szCs w:val="24"/>
              </w:rPr>
            </w:pPr>
            <w:r>
              <w:rPr>
                <w:rFonts w:ascii="標楷體" w:hAnsi="標楷體" w:eastAsia="標楷體"/>
                <w:color w:val="000000"/>
                <w:szCs w:val="24"/>
              </w:rPr>
              <w:t>實驗討論與探究實驗教學</w:t>
            </w:r>
          </w:p>
          <w:p>
            <w:pPr>
              <w:pStyle w:val="Style21"/>
              <w:snapToGrid w:val="false"/>
              <w:spacing w:lineRule="auto" w:line="276"/>
              <w:ind w:left="0" w:hanging="0"/>
              <w:jc w:val="center"/>
              <w:rPr>
                <w:rFonts w:ascii="標楷體" w:hAnsi="標楷體" w:eastAsia="標楷體"/>
                <w:color w:val="000000"/>
                <w:szCs w:val="24"/>
              </w:rPr>
            </w:pPr>
            <w:r>
              <w:rPr>
                <w:rFonts w:ascii="標楷體" w:hAnsi="標楷體" w:eastAsia="標楷體"/>
                <w:color w:val="000000"/>
                <w:szCs w:val="24"/>
              </w:rPr>
              <w:t>命題與評量實務</w:t>
            </w:r>
          </w:p>
        </w:tc>
        <w:tc>
          <w:tcPr>
            <w:tcW w:w="31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spacing w:lineRule="auto" w:line="276"/>
              <w:ind w:left="0" w:hanging="0"/>
              <w:jc w:val="center"/>
              <w:rPr>
                <w:rFonts w:ascii="標楷體" w:hAnsi="標楷體" w:eastAsia="標楷體"/>
                <w:color w:val="000000"/>
                <w:szCs w:val="24"/>
              </w:rPr>
            </w:pPr>
            <w:r>
              <w:rPr>
                <w:rFonts w:ascii="標楷體" w:hAnsi="標楷體" w:eastAsia="標楷體"/>
                <w:color w:val="000000"/>
                <w:szCs w:val="24"/>
              </w:rPr>
              <w:t>傅昭銘教授</w:t>
            </w:r>
          </w:p>
          <w:p>
            <w:pPr>
              <w:pStyle w:val="Style21"/>
              <w:snapToGrid w:val="false"/>
              <w:spacing w:lineRule="auto" w:line="276"/>
              <w:ind w:left="0" w:hanging="0"/>
              <w:jc w:val="center"/>
              <w:rPr>
                <w:rFonts w:ascii="標楷體" w:hAnsi="標楷體" w:eastAsia="標楷體"/>
                <w:color w:val="000000"/>
                <w:szCs w:val="24"/>
              </w:rPr>
            </w:pPr>
            <w:r>
              <w:rPr>
                <w:rFonts w:ascii="標楷體" w:hAnsi="標楷體" w:eastAsia="標楷體"/>
                <w:color w:val="000000"/>
                <w:szCs w:val="24"/>
              </w:rPr>
              <w:t>大考中心研究員</w:t>
            </w:r>
          </w:p>
        </w:tc>
      </w:tr>
      <w:tr>
        <w:trPr/>
        <w:tc>
          <w:tcPr>
            <w:tcW w:w="1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exact" w:line="280"/>
              <w:jc w:val="center"/>
              <w:rPr>
                <w:rFonts w:ascii="標楷體" w:hAnsi="標楷體" w:eastAsia="標楷體"/>
              </w:rPr>
            </w:pPr>
            <w:r>
              <w:rPr>
                <w:rFonts w:eastAsia="標楷體" w:ascii="標楷體" w:hAnsi="標楷體"/>
              </w:rPr>
              <w:t>16</w:t>
            </w:r>
            <w:r>
              <w:rPr>
                <w:rFonts w:ascii="標楷體" w:hAnsi="標楷體" w:eastAsia="標楷體"/>
              </w:rPr>
              <w:t>：</w:t>
            </w:r>
            <w:r>
              <w:rPr>
                <w:rFonts w:eastAsia="標楷體" w:ascii="標楷體" w:hAnsi="標楷體"/>
              </w:rPr>
              <w:t>50-17</w:t>
            </w:r>
            <w:r>
              <w:rPr>
                <w:rFonts w:ascii="標楷體" w:hAnsi="標楷體" w:eastAsia="標楷體"/>
              </w:rPr>
              <w:t>：</w:t>
            </w:r>
            <w:r>
              <w:rPr>
                <w:rFonts w:eastAsia="標楷體" w:ascii="標楷體" w:hAnsi="標楷體"/>
              </w:rPr>
              <w:t>20</w:t>
            </w:r>
          </w:p>
        </w:tc>
        <w:tc>
          <w:tcPr>
            <w:tcW w:w="42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spacing w:lineRule="auto" w:line="276"/>
              <w:ind w:left="0" w:hanging="0"/>
              <w:jc w:val="center"/>
              <w:rPr>
                <w:rFonts w:ascii="標楷體" w:hAnsi="標楷體" w:eastAsia="標楷體"/>
                <w:color w:val="000000"/>
                <w:szCs w:val="24"/>
              </w:rPr>
            </w:pPr>
            <w:r>
              <w:rPr>
                <w:rFonts w:ascii="標楷體" w:hAnsi="標楷體" w:eastAsia="標楷體"/>
                <w:color w:val="000000"/>
                <w:szCs w:val="24"/>
              </w:rPr>
              <w:t>綜合座談</w:t>
            </w:r>
          </w:p>
        </w:tc>
        <w:tc>
          <w:tcPr>
            <w:tcW w:w="31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spacing w:lineRule="auto" w:line="276"/>
              <w:ind w:left="0" w:hanging="0"/>
              <w:jc w:val="center"/>
              <w:rPr>
                <w:rFonts w:ascii="標楷體" w:hAnsi="標楷體" w:eastAsia="標楷體"/>
                <w:color w:val="000000"/>
                <w:szCs w:val="24"/>
              </w:rPr>
            </w:pPr>
            <w:r>
              <w:rPr>
                <w:rFonts w:ascii="標楷體" w:hAnsi="標楷體" w:eastAsia="標楷體"/>
                <w:color w:val="000000"/>
                <w:szCs w:val="24"/>
              </w:rPr>
              <w:t>傅昭銘教授</w:t>
            </w:r>
          </w:p>
        </w:tc>
      </w:tr>
      <w:tr>
        <w:trPr/>
        <w:tc>
          <w:tcPr>
            <w:tcW w:w="1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exact" w:line="280"/>
              <w:jc w:val="center"/>
              <w:rPr>
                <w:rFonts w:ascii="標楷體" w:hAnsi="標楷體" w:eastAsia="標楷體"/>
              </w:rPr>
            </w:pPr>
            <w:r>
              <w:rPr>
                <w:rFonts w:eastAsia="標楷體" w:ascii="標楷體" w:hAnsi="標楷體"/>
              </w:rPr>
              <w:t>17</w:t>
            </w:r>
            <w:r>
              <w:rPr>
                <w:rFonts w:ascii="標楷體" w:hAnsi="標楷體" w:eastAsia="標楷體"/>
              </w:rPr>
              <w:t>：</w:t>
            </w:r>
            <w:r>
              <w:rPr>
                <w:rFonts w:eastAsia="標楷體" w:ascii="標楷體" w:hAnsi="標楷體"/>
              </w:rPr>
              <w:t>20-</w:t>
            </w:r>
          </w:p>
        </w:tc>
        <w:tc>
          <w:tcPr>
            <w:tcW w:w="73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spacing w:lineRule="auto" w:line="276"/>
              <w:ind w:left="0" w:hanging="0"/>
              <w:jc w:val="center"/>
              <w:rPr/>
            </w:pPr>
            <w:r>
              <w:rPr>
                <w:rStyle w:val="Style14"/>
                <w:rFonts w:ascii="標楷體" w:hAnsi="標楷體" w:eastAsia="標楷體"/>
              </w:rPr>
              <w:t>賦歸</w:t>
            </w:r>
          </w:p>
        </w:tc>
      </w:tr>
    </w:tbl>
    <w:p>
      <w:pPr>
        <w:pStyle w:val="Style18"/>
        <w:rPr>
          <w:rFonts w:ascii="Times New Roman" w:hAnsi="Times New Roman" w:eastAsia="標楷體" w:cs="Times New Roman"/>
        </w:rPr>
      </w:pPr>
      <w:r>
        <w:rPr>
          <w:rFonts w:eastAsia="標楷體" w:cs="Times New Roman" w:ascii="Times New Roman" w:hAnsi="Times New Roman"/>
        </w:rPr>
      </w:r>
      <w:r>
        <w:br w:type="page"/>
      </w:r>
    </w:p>
    <w:p>
      <w:pPr>
        <w:pStyle w:val="Style18"/>
        <w:suppressAutoHyphens w:val="false"/>
        <w:rPr>
          <w:rFonts w:ascii="Times New Roman" w:hAnsi="Times New Roman" w:eastAsia="標楷體" w:cs="Times New Roman"/>
        </w:rPr>
      </w:pPr>
      <w:r>
        <w:rPr>
          <w:rFonts w:eastAsia="標楷體" w:cs="Times New Roman" w:ascii="Times New Roman" w:hAnsi="Times New Roman"/>
        </w:rPr>
      </w:r>
    </w:p>
    <w:p>
      <w:pPr>
        <w:pStyle w:val="Style18"/>
        <w:rPr>
          <w:rFonts w:ascii="Times New Roman" w:hAnsi="Times New Roman" w:eastAsia="標楷體" w:cs="Times New Roman"/>
        </w:rPr>
      </w:pPr>
      <w:r>
        <w:rPr>
          <w:rFonts w:ascii="Times New Roman" w:hAnsi="Times New Roman" w:cs="Times New Roman" w:eastAsia="標楷體"/>
        </w:rPr>
        <w:t>臺南一中校園地圖</w:t>
      </w:r>
    </w:p>
    <w:p>
      <w:pPr>
        <w:pStyle w:val="Style18"/>
        <w:rPr/>
      </w:pPr>
      <w:r>
        <w:rPr/>
        <w:drawing>
          <wp:inline distT="0" distB="0" distL="0" distR="0">
            <wp:extent cx="6120130" cy="8602980"/>
            <wp:effectExtent l="0" t="0" r="0" b="0"/>
            <wp:docPr id="2" name="圖片 2" descr="臺南第一高級中學-關於本校-校園巡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臺南第一高級中學-關於本校-校園巡禮"/>
                    <pic:cNvPicPr>
                      <a:picLocks noChangeAspect="1" noChangeArrowheads="1"/>
                    </pic:cNvPicPr>
                  </pic:nvPicPr>
                  <pic:blipFill>
                    <a:blip r:embed="rId2"/>
                    <a:stretch>
                      <a:fillRect/>
                    </a:stretch>
                  </pic:blipFill>
                  <pic:spPr bwMode="auto">
                    <a:xfrm>
                      <a:off x="0" y="0"/>
                      <a:ext cx="6120130" cy="8602980"/>
                    </a:xfrm>
                    <a:prstGeom prst="rect">
                      <a:avLst/>
                    </a:prstGeom>
                  </pic:spPr>
                </pic:pic>
              </a:graphicData>
            </a:graphic>
          </wp:inline>
        </w:drawing>
        <mc:AlternateContent>
          <mc:Choice Requires="wps">
            <w:drawing>
              <wp:anchor behindDoc="0" distT="0" distB="0" distL="0" distR="0" simplePos="0" locked="0" layoutInCell="1" allowOverlap="1" relativeHeight="3">
                <wp:simplePos x="0" y="0"/>
                <wp:positionH relativeFrom="column">
                  <wp:posOffset>4975860</wp:posOffset>
                </wp:positionH>
                <wp:positionV relativeFrom="paragraph">
                  <wp:posOffset>1630045</wp:posOffset>
                </wp:positionV>
                <wp:extent cx="590550" cy="1047750"/>
                <wp:effectExtent l="0" t="0" r="0" b="0"/>
                <wp:wrapNone/>
                <wp:docPr id="1" name="矩形 3"/>
                <a:graphic xmlns:a="http://schemas.openxmlformats.org/drawingml/2006/main">
                  <a:graphicData uri="http://schemas.microsoft.com/office/word/2010/wordprocessingShape">
                    <wps:wsp>
                      <wps:cNvSpPr/>
                      <wps:spPr>
                        <a:xfrm>
                          <a:off x="0" y="0"/>
                          <a:ext cx="590040" cy="1047240"/>
                        </a:xfrm>
                        <a:custGeom>
                          <a:avLst/>
                          <a:gdLst/>
                          <a:ahLst/>
                          <a:rect l="l" t="t" r="r" b="b"/>
                          <a:pathLst>
                            <a:path w="21600" h="21600">
                              <a:moveTo>
                                <a:pt x="0" y="0"/>
                              </a:moveTo>
                              <a:lnTo>
                                <a:pt x="21600" y="0"/>
                              </a:lnTo>
                              <a:lnTo>
                                <a:pt x="21600" y="21600"/>
                              </a:lnTo>
                              <a:lnTo>
                                <a:pt x="0" y="21600"/>
                              </a:lnTo>
                              <a:close/>
                            </a:path>
                          </a:pathLst>
                        </a:custGeom>
                        <a:noFill/>
                        <a:ln w="25560">
                          <a:solidFill>
                            <a:srgbClr val="ff0000"/>
                          </a:solidFill>
                          <a:round/>
                        </a:ln>
                      </wps:spPr>
                      <wps:style>
                        <a:lnRef idx="0"/>
                        <a:fillRef idx="0"/>
                        <a:effectRef idx="0"/>
                        <a:fontRef idx="minor"/>
                      </wps:style>
                      <wps:bodyPr/>
                    </wps:wsp>
                  </a:graphicData>
                </a:graphic>
              </wp:anchor>
            </w:drawing>
          </mc:Choice>
          <mc:Fallback>
            <w:pict>
              <v:shape id="shape_0" ID="矩形 3" stroked="t" style="position:absolute;margin-left:391.8pt;margin-top:128.35pt;width:46.4pt;height:82.4pt">
                <w10:wrap type="none"/>
                <v:fill o:detectmouseclick="t" on="false"/>
                <v:stroke color="red" weight="25560" joinstyle="round" endcap="flat"/>
              </v:shape>
            </w:pict>
          </mc:Fallback>
        </mc:AlternateContent>
      </w:r>
    </w:p>
    <w:sectPr>
      <w:footerReference w:type="default" r:id="rId3"/>
      <w:type w:val="nextPage"/>
      <w:pgSz w:w="11906" w:h="16838"/>
      <w:pgMar w:left="1134" w:right="1134" w:header="0" w:top="851" w:footer="992" w:bottom="1134" w:gutter="0"/>
      <w:pgNumType w:fmt="decimal"/>
      <w:formProt w:val="false"/>
      <w:textDirection w:val="lrTb"/>
      <w:docGrid w:type="lines"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新細明體">
    <w:charset w:val="88"/>
    <w:family w:val="roman"/>
    <w:pitch w:val="variable"/>
  </w:font>
  <w:font w:name="Calibri Light">
    <w:charset w:val="88"/>
    <w:family w:val="swiss"/>
    <w:pitch w:val="variable"/>
  </w:font>
  <w:font w:name="Wingdings">
    <w:charset w:val="02"/>
    <w:family w:val="auto"/>
    <w:pitch w:val="variable"/>
  </w:font>
  <w:font w:name="Times New Roman">
    <w:charset w:val="88"/>
    <w:family w:val="roman"/>
    <w:pitch w:val="variable"/>
  </w:font>
  <w:font w:name="標楷體">
    <w:charset w:val="88"/>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pPr>
    <w:r>
      <w:rPr>
        <w:rStyle w:val="Style14"/>
        <w:lang w:val="zh-TW"/>
      </w:rPr>
      <w:fldChar w:fldCharType="begin"/>
    </w:r>
    <w:r>
      <w:instrText> PAGE </w:instrText>
    </w:r>
    <w:r>
      <w:fldChar w:fldCharType="separate"/>
    </w:r>
    <w:r>
      <w:t>5</w:t>
    </w:r>
    <w:r>
      <w:fldChar w:fldCharType="end"/>
    </w:r>
  </w:p>
  <w:p>
    <w:pPr>
      <w:pStyle w:val="Style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ideographLegalTradition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2">
    <w:lvl w:ilvl="0">
      <w:start w:val="1"/>
      <w:numFmt w:val="decimal"/>
      <w:lvlText w:val="%1、"/>
      <w:lvlJc w:val="left"/>
      <w:pPr>
        <w:tabs>
          <w:tab w:val="num" w:pos="1331"/>
        </w:tabs>
        <w:ind w:left="1331" w:hanging="480"/>
      </w:pPr>
      <w:rPr>
        <w:b/>
        <w:lang w:val="en-US"/>
      </w:rPr>
    </w:lvl>
    <w:lvl w:ilvl="1">
      <w:start w:val="1"/>
      <w:numFmt w:val="bullet"/>
      <w:lvlText w:val=""/>
      <w:lvlJc w:val="left"/>
      <w:pPr>
        <w:tabs>
          <w:tab w:val="num" w:pos="1440"/>
        </w:tabs>
        <w:ind w:left="1440" w:hanging="480"/>
      </w:pPr>
      <w:rPr>
        <w:rFonts w:ascii="Wingdings" w:hAnsi="Wingdings" w:cs="Wingdings" w:hint="default"/>
      </w:rPr>
    </w:lvl>
    <w:lvl w:ilvl="2">
      <w:start w:val="1"/>
      <w:numFmt w:val="bullet"/>
      <w:lvlText w:val=""/>
      <w:lvlJc w:val="left"/>
      <w:pPr>
        <w:tabs>
          <w:tab w:val="num" w:pos="1920"/>
        </w:tabs>
        <w:ind w:left="1920" w:hanging="480"/>
      </w:pPr>
      <w:rPr>
        <w:rFonts w:ascii="Wingdings" w:hAnsi="Wingdings" w:cs="Wingdings" w:hint="default"/>
      </w:r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0"/>
      </w:pPr>
    </w:lvl>
  </w:abstractNum>
  <w:abstractNum w:abstractNumId="3">
    <w:lvl w:ilvl="0">
      <w:start w:val="1"/>
      <w:numFmt w:val="decimal"/>
      <w:lvlText w:val="（%1）"/>
      <w:lvlJc w:val="left"/>
      <w:pPr>
        <w:tabs>
          <w:tab w:val="num" w:pos="1680"/>
        </w:tabs>
        <w:ind w:left="1680" w:hanging="720"/>
      </w:p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lang w:val="en-US" w:eastAsia="zh-TW" w:bidi="ar-SA"/>
      </w:rPr>
    </w:rPrDefault>
    <w:pPrDefault>
      <w:pPr>
        <w:widowControl/>
        <w:suppressAutoHyphens w:val="false"/>
        <w:textAlignment w:val="baselin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頁首 字元"/>
    <w:qFormat/>
    <w:rPr>
      <w:rFonts w:ascii="新細明體" w:hAnsi="新細明體" w:cs="新細明體"/>
    </w:rPr>
  </w:style>
  <w:style w:type="character" w:styleId="Style16">
    <w:name w:val="頁尾 字元"/>
    <w:qFormat/>
    <w:rPr>
      <w:rFonts w:ascii="新細明體" w:hAnsi="新細明體" w:cs="新細明體"/>
    </w:rPr>
  </w:style>
  <w:style w:type="character" w:styleId="Style17">
    <w:name w:val="註解方塊文字 字元"/>
    <w:qFormat/>
    <w:rPr>
      <w:rFonts w:ascii="Calibri Light" w:hAnsi="Calibri Light" w:eastAsia="新細明體" w:cs="Times New Roman"/>
      <w:sz w:val="18"/>
      <w:szCs w:val="18"/>
    </w:rPr>
  </w:style>
  <w:style w:type="character" w:styleId="WWCharLFO2LVL1">
    <w:name w:val="WW_CharLFO2LVL1"/>
    <w:qFormat/>
    <w:rPr>
      <w:b/>
      <w:lang w:val="en-US"/>
    </w:rPr>
  </w:style>
  <w:style w:type="character" w:styleId="WWCharLFO2LVL2">
    <w:name w:val="WW_CharLFO2LVL2"/>
    <w:qFormat/>
    <w:rPr>
      <w:rFonts w:ascii="Wingdings" w:hAnsi="Wingdings"/>
    </w:rPr>
  </w:style>
  <w:style w:type="character" w:styleId="WWCharLFO2LVL3">
    <w:name w:val="WW_CharLFO2LVL3"/>
    <w:qFormat/>
    <w:rPr>
      <w:rFonts w:ascii="Wingdings" w:hAnsi="Wingdings"/>
    </w:rPr>
  </w:style>
  <w:style w:type="paragraph" w:styleId="Style18">
    <w:name w:val="Body Text"/>
    <w:pPr>
      <w:keepNext/>
      <w:keepLines w:val="false"/>
      <w:pageBreakBefore w:val="false"/>
      <w:widowControl/>
      <w:pBdr/>
      <w:shd w:fill="FFFFFF" w:val="clear"/>
      <w:suppressAutoHyphens w:val="true"/>
      <w:kinsoku w:val="true"/>
      <w:overflowPunct w:val="true"/>
      <w:autoSpaceDE w:val="true"/>
      <w:bidi w:val="0"/>
      <w:snapToGrid w:val="true"/>
      <w:spacing w:lineRule="auto" w:line="240"/>
      <w:jc w:val="left"/>
      <w:textAlignment w:val="baseline"/>
    </w:pPr>
    <w:rPr>
      <w:rFonts w:ascii="新細明體" w:hAnsi="新細明體" w:cs="新細明體" w:eastAsia="新細明體"/>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Style19">
    <w:name w:val="Header"/>
    <w:basedOn w:val="Style18"/>
    <w:pPr>
      <w:tabs>
        <w:tab w:val="center" w:pos="4153" w:leader="none"/>
        <w:tab w:val="right" w:pos="8306" w:leader="none"/>
      </w:tabs>
      <w:suppressAutoHyphens w:val="true"/>
      <w:snapToGrid w:val="false"/>
    </w:pPr>
    <w:rPr>
      <w:sz w:val="20"/>
      <w:szCs w:val="20"/>
    </w:rPr>
  </w:style>
  <w:style w:type="paragraph" w:styleId="Style20">
    <w:name w:val="Footer"/>
    <w:basedOn w:val="Style18"/>
    <w:pPr>
      <w:tabs>
        <w:tab w:val="center" w:pos="4153" w:leader="none"/>
        <w:tab w:val="right" w:pos="8306" w:leader="none"/>
      </w:tabs>
      <w:suppressAutoHyphens w:val="true"/>
      <w:snapToGrid w:val="false"/>
    </w:pPr>
    <w:rPr>
      <w:sz w:val="20"/>
      <w:szCs w:val="20"/>
    </w:rPr>
  </w:style>
  <w:style w:type="paragraph" w:styleId="Style21">
    <w:name w:val="清單段落"/>
    <w:basedOn w:val="Style18"/>
    <w:qFormat/>
    <w:pPr>
      <w:widowControl w:val="false"/>
      <w:suppressAutoHyphens w:val="true"/>
      <w:ind w:left="480" w:hanging="0"/>
    </w:pPr>
    <w:rPr>
      <w:rFonts w:ascii="Calibri" w:hAnsi="Calibri" w:cs="Times New Roman"/>
      <w:szCs w:val="22"/>
    </w:rPr>
  </w:style>
  <w:style w:type="paragraph" w:styleId="Style22">
    <w:name w:val="註解方塊文字"/>
    <w:basedOn w:val="Style18"/>
    <w:qFormat/>
    <w:pPr>
      <w:suppressAutoHyphens w:val="true"/>
    </w:pPr>
    <w:rPr>
      <w:rFonts w:ascii="Calibri Light" w:hAnsi="Calibri Light" w:cs="Times New Roman"/>
      <w:sz w:val="18"/>
      <w:szCs w:val="18"/>
    </w:rPr>
  </w:style>
  <w:style w:type="paragraph" w:styleId="Style23">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LibreOffice/5.3.4.2$Windows_x86 LibreOffice_project/f82d347ccc0be322489bf7da61d7e4ad13fe2ff3</Application>
  <Pages>3</Pages>
  <Words>686</Words>
  <Characters>735</Characters>
  <CharactersWithSpaces>1369</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2021-05-06T07:58:00Z</dcterms:created>
  <dc:creator>Windows 使用者</dc:creator>
  <dc:description/>
  <dc:language>zh-TW</dc:language>
  <cp:lastModifiedBy>USER</cp:lastModifiedBy>
  <cp:lastPrinted>2021-04-26T02:56:00Z</cp:lastPrinted>
  <dcterms:modified xsi:type="dcterms:W3CDTF">2021-05-06T07:58:00Z</dcterms:modified>
  <cp:revision>2</cp:revision>
  <dc:subject/>
  <dc:title/>
</cp:coreProperties>
</file>