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exact" w:line="320" w:before="180" w:after="240"/>
        <w:jc w:val="center"/>
        <w:rPr/>
      </w:pPr>
      <w:bookmarkStart w:id="0" w:name="OLE_LINK3"/>
      <w:bookmarkEnd w:id="0"/>
      <w:r>
        <w:rPr>
          <w:rStyle w:val="Style14"/>
          <w:rFonts w:ascii="標楷體" w:hAnsi="標楷體"/>
          <w:b/>
          <w:bCs/>
          <w:szCs w:val="28"/>
        </w:rPr>
        <w:t>普通型高級中等學校公民與社會</w:t>
      </w:r>
      <w:r>
        <w:rPr>
          <w:rStyle w:val="Style14"/>
          <w:rFonts w:ascii="標楷體" w:hAnsi="標楷體"/>
          <w:b/>
          <w:szCs w:val="28"/>
        </w:rPr>
        <w:t>學科中心教師專業成長研習</w:t>
      </w:r>
      <w:r>
        <w:rPr>
          <w:rStyle w:val="Style14"/>
          <w:rFonts w:ascii="標楷體" w:hAnsi="標楷體"/>
          <w:b/>
          <w:bCs/>
          <w:szCs w:val="28"/>
        </w:rPr>
        <w:t>實施計畫</w:t>
      </w:r>
    </w:p>
    <w:p>
      <w:pPr>
        <w:pStyle w:val="Style20"/>
        <w:snapToGrid w:val="false"/>
        <w:spacing w:before="0" w:after="240"/>
        <w:jc w:val="center"/>
        <w:rPr/>
      </w:pPr>
      <w:bookmarkStart w:id="1" w:name="OLE_LINK3"/>
      <w:bookmarkEnd w:id="1"/>
      <w:r>
        <w:rPr>
          <w:rStyle w:val="Style14"/>
          <w:rFonts w:ascii="Times New Roman" w:hAnsi="Times New Roman" w:cs="Times New Roman" w:eastAsia="標楷體"/>
          <w:b/>
          <w:sz w:val="40"/>
          <w:szCs w:val="30"/>
        </w:rPr>
        <w:t>霧中審判：桌遊在人權與法律議題教學運用</w:t>
      </w:r>
    </w:p>
    <w:p>
      <w:pPr>
        <w:pStyle w:val="ListParagraph1"/>
        <w:numPr>
          <w:ilvl w:val="0"/>
          <w:numId w:val="1"/>
        </w:numPr>
        <w:autoSpaceDE w:val="false"/>
        <w:snapToGrid w:val="false"/>
        <w:spacing w:before="100" w:after="0"/>
        <w:ind w:left="567" w:hanging="567"/>
        <w:rPr/>
      </w:pPr>
      <w:r>
        <w:rPr>
          <w:rStyle w:val="Style14"/>
          <w:rFonts w:ascii="Times New Roman" w:hAnsi="Times New Roman" w:cs="Times New Roman" w:eastAsia="標楷體"/>
          <w:b/>
          <w:bCs/>
        </w:rPr>
        <w:t>依據：</w:t>
      </w:r>
    </w:p>
    <w:p>
      <w:pPr>
        <w:pStyle w:val="Style20"/>
        <w:numPr>
          <w:ilvl w:val="0"/>
          <w:numId w:val="2"/>
        </w:numPr>
        <w:autoSpaceDE w:val="false"/>
        <w:ind w:left="851" w:hanging="483"/>
        <w:rPr/>
      </w:pPr>
      <w:r>
        <w:rPr>
          <w:rStyle w:val="Style14"/>
          <w:rFonts w:ascii="標楷體" w:hAnsi="標楷體" w:eastAsia="標楷體"/>
        </w:rPr>
        <w:t>教育部國民及學前教育署高級中等學校課程推動工作圈及學科群科中心設置與運作要點</w:t>
      </w:r>
    </w:p>
    <w:p>
      <w:pPr>
        <w:pStyle w:val="Style20"/>
        <w:numPr>
          <w:ilvl w:val="0"/>
          <w:numId w:val="2"/>
        </w:numPr>
        <w:autoSpaceDE w:val="false"/>
        <w:ind w:left="851" w:hanging="483"/>
        <w:rPr/>
      </w:pPr>
      <w:r>
        <w:rPr>
          <w:rStyle w:val="Style14"/>
          <w:rFonts w:ascii="標楷體" w:hAnsi="標楷體" w:eastAsia="標楷體"/>
        </w:rPr>
        <w:t>教育部國民及學前教育署補助地方政府精進高級中等學校課程與教學要點</w:t>
      </w:r>
    </w:p>
    <w:p>
      <w:pPr>
        <w:pStyle w:val="Style20"/>
        <w:numPr>
          <w:ilvl w:val="0"/>
          <w:numId w:val="2"/>
        </w:numPr>
        <w:autoSpaceDE w:val="false"/>
        <w:ind w:left="851" w:hanging="483"/>
        <w:rPr>
          <w:rFonts w:ascii="Times New Roman" w:hAnsi="Times New Roman" w:eastAsia="標楷體" w:cs="Times New Roman"/>
          <w:bCs/>
          <w:szCs w:val="24"/>
        </w:rPr>
      </w:pPr>
      <w:r>
        <w:rPr>
          <w:rFonts w:eastAsia="標楷體" w:cs="Times New Roman" w:ascii="Times New Roman" w:hAnsi="Times New Roman"/>
          <w:bCs/>
          <w:szCs w:val="24"/>
        </w:rPr>
        <w:t>107</w:t>
      </w:r>
      <w:r>
        <w:rPr>
          <w:rFonts w:ascii="Times New Roman" w:hAnsi="Times New Roman" w:cs="Times New Roman" w:eastAsia="標楷體"/>
          <w:bCs/>
          <w:szCs w:val="24"/>
        </w:rPr>
        <w:t>年</w:t>
      </w:r>
      <w:r>
        <w:rPr>
          <w:rFonts w:eastAsia="標楷體" w:cs="Times New Roman" w:ascii="Times New Roman" w:hAnsi="Times New Roman"/>
          <w:bCs/>
          <w:szCs w:val="24"/>
        </w:rPr>
        <w:t>9</w:t>
      </w:r>
      <w:r>
        <w:rPr>
          <w:rFonts w:ascii="Times New Roman" w:hAnsi="Times New Roman" w:cs="Times New Roman" w:eastAsia="標楷體"/>
          <w:bCs/>
          <w:szCs w:val="24"/>
        </w:rPr>
        <w:t>月</w:t>
      </w:r>
      <w:r>
        <w:rPr>
          <w:rFonts w:eastAsia="標楷體" w:cs="Times New Roman" w:ascii="Times New Roman" w:hAnsi="Times New Roman"/>
          <w:bCs/>
          <w:szCs w:val="24"/>
        </w:rPr>
        <w:t>27</w:t>
      </w:r>
      <w:r>
        <w:rPr>
          <w:rFonts w:ascii="Times New Roman" w:hAnsi="Times New Roman" w:cs="Times New Roman" w:eastAsia="標楷體"/>
          <w:bCs/>
          <w:szCs w:val="24"/>
        </w:rPr>
        <w:t>日教育部普通型高級中等學校公民與社會學科中心與地方政府高中課程推動組織合作研商會議</w:t>
      </w:r>
      <w:r>
        <w:rPr>
          <w:rFonts w:eastAsia="標楷體" w:cs="Times New Roman" w:ascii="Times New Roman" w:hAnsi="Times New Roman"/>
          <w:bCs/>
          <w:szCs w:val="24"/>
        </w:rPr>
        <w:t>(</w:t>
      </w:r>
      <w:r>
        <w:rPr>
          <w:rFonts w:ascii="Times New Roman" w:hAnsi="Times New Roman" w:cs="Times New Roman" w:eastAsia="標楷體"/>
          <w:bCs/>
          <w:szCs w:val="24"/>
        </w:rPr>
        <w:t>南區</w:t>
      </w:r>
      <w:r>
        <w:rPr>
          <w:rFonts w:eastAsia="標楷體" w:cs="Times New Roman" w:ascii="Times New Roman" w:hAnsi="Times New Roman"/>
          <w:bCs/>
          <w:szCs w:val="24"/>
        </w:rPr>
        <w:t>)</w:t>
      </w:r>
      <w:r>
        <w:rPr>
          <w:rFonts w:ascii="Times New Roman" w:hAnsi="Times New Roman" w:cs="Times New Roman" w:eastAsia="標楷體"/>
          <w:bCs/>
          <w:szCs w:val="24"/>
        </w:rPr>
        <w:t>會議決議。</w:t>
      </w:r>
    </w:p>
    <w:p>
      <w:pPr>
        <w:pStyle w:val="Style20"/>
        <w:autoSpaceDE w:val="false"/>
        <w:ind w:left="851" w:hanging="0"/>
        <w:rPr>
          <w:rFonts w:ascii="Times New Roman" w:hAnsi="Times New Roman" w:eastAsia="標楷體" w:cs="Times New Roman"/>
          <w:bCs/>
          <w:szCs w:val="24"/>
        </w:rPr>
      </w:pPr>
      <w:r>
        <w:rPr>
          <w:rFonts w:eastAsia="標楷體" w:cs="Times New Roman" w:ascii="Times New Roman" w:hAnsi="Times New Roman"/>
          <w:bCs/>
          <w:szCs w:val="24"/>
        </w:rPr>
      </w:r>
    </w:p>
    <w:p>
      <w:pPr>
        <w:pStyle w:val="ListParagraph1"/>
        <w:numPr>
          <w:ilvl w:val="0"/>
          <w:numId w:val="1"/>
        </w:numPr>
        <w:autoSpaceDE w:val="false"/>
        <w:snapToGrid w:val="false"/>
        <w:spacing w:before="100" w:after="0"/>
        <w:ind w:left="567" w:hanging="567"/>
        <w:rPr/>
      </w:pPr>
      <w:r>
        <w:rPr>
          <w:rStyle w:val="Style14"/>
          <w:rFonts w:ascii="Times New Roman" w:hAnsi="Times New Roman" w:cs="Times New Roman" w:eastAsia="標楷體"/>
          <w:b/>
        </w:rPr>
        <w:t>目的</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培力教師了解並掌握十二年國教課程綱要精神、內容及課程教學的改變。</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強化高中課程與教學革新動能，促發高中教師專業精進。</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增進教師發展素養導向課程發展能力，落實以學習者為中心之課程理念。</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培育臺南市公民與社會科教師研發素養課程之能力。</w:t>
      </w:r>
    </w:p>
    <w:p>
      <w:pPr>
        <w:pStyle w:val="Style20"/>
        <w:numPr>
          <w:ilvl w:val="0"/>
          <w:numId w:val="3"/>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透過研習，將課堂知識融入活動中，以提高學生學習興趣。</w:t>
      </w:r>
    </w:p>
    <w:p>
      <w:pPr>
        <w:pStyle w:val="Style20"/>
        <w:autoSpaceDE w:val="false"/>
        <w:ind w:left="851" w:hanging="0"/>
        <w:rPr>
          <w:rFonts w:ascii="Times New Roman" w:hAnsi="Times New Roman" w:eastAsia="標楷體" w:cs="Times New Roman"/>
          <w:bCs/>
          <w:szCs w:val="24"/>
        </w:rPr>
      </w:pPr>
      <w:r>
        <w:rPr>
          <w:rFonts w:eastAsia="標楷體" w:cs="Times New Roman" w:ascii="Times New Roman" w:hAnsi="Times New Roman"/>
          <w:bCs/>
          <w:szCs w:val="24"/>
        </w:rPr>
      </w:r>
    </w:p>
    <w:p>
      <w:pPr>
        <w:pStyle w:val="ListParagraph1"/>
        <w:numPr>
          <w:ilvl w:val="0"/>
          <w:numId w:val="1"/>
        </w:numPr>
        <w:autoSpaceDE w:val="false"/>
        <w:spacing w:lineRule="atLeast" w:line="240" w:before="100" w:after="0"/>
        <w:ind w:left="567" w:hanging="567"/>
        <w:rPr>
          <w:rFonts w:ascii="Times New Roman" w:hAnsi="Times New Roman" w:eastAsia="標楷體" w:cs="Times New Roman"/>
          <w:b/>
          <w:b/>
          <w:bCs/>
        </w:rPr>
      </w:pPr>
      <w:r>
        <w:rPr>
          <w:rFonts w:ascii="Times New Roman" w:hAnsi="Times New Roman" w:cs="Times New Roman" w:eastAsia="標楷體"/>
          <w:b/>
          <w:bCs/>
        </w:rPr>
        <w:t>辦理單位</w:t>
      </w:r>
    </w:p>
    <w:p>
      <w:pPr>
        <w:pStyle w:val="Style20"/>
        <w:numPr>
          <w:ilvl w:val="0"/>
          <w:numId w:val="4"/>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指導單位：教育部國民及學前教育署</w:t>
      </w:r>
    </w:p>
    <w:p>
      <w:pPr>
        <w:pStyle w:val="Style20"/>
        <w:numPr>
          <w:ilvl w:val="0"/>
          <w:numId w:val="4"/>
        </w:numPr>
        <w:autoSpaceDE w:val="false"/>
        <w:ind w:left="851" w:hanging="483"/>
        <w:rPr/>
      </w:pPr>
      <w:r>
        <w:rPr>
          <w:rStyle w:val="Style14"/>
          <w:rFonts w:ascii="Times New Roman" w:hAnsi="Times New Roman" w:cs="Times New Roman" w:eastAsia="標楷體"/>
          <w:szCs w:val="24"/>
        </w:rPr>
        <w:t>主辦單位：</w:t>
      </w:r>
      <w:r>
        <w:rPr>
          <w:rStyle w:val="Style14"/>
          <w:rFonts w:ascii="Times New Roman" w:hAnsi="Times New Roman" w:cs="Times New Roman" w:eastAsia="標楷體"/>
          <w:bCs/>
          <w:szCs w:val="24"/>
        </w:rPr>
        <w:t>公民與社會科學科中心—國立臺南一中、</w:t>
      </w:r>
      <w:r>
        <w:rPr>
          <w:rStyle w:val="Style14"/>
          <w:rFonts w:ascii="Times New Roman" w:hAnsi="Times New Roman" w:cs="Times New Roman" w:eastAsia="標楷體"/>
          <w:szCs w:val="24"/>
        </w:rPr>
        <w:t>臺南市政府教育局</w:t>
      </w:r>
    </w:p>
    <w:p>
      <w:pPr>
        <w:pStyle w:val="Style20"/>
        <w:numPr>
          <w:ilvl w:val="0"/>
          <w:numId w:val="4"/>
        </w:numPr>
        <w:autoSpaceDE w:val="false"/>
        <w:ind w:left="851" w:hanging="483"/>
        <w:rPr/>
      </w:pPr>
      <w:r>
        <w:rPr>
          <w:rStyle w:val="Style14"/>
          <w:rFonts w:ascii="Times New Roman" w:hAnsi="Times New Roman" w:cs="Times New Roman" w:eastAsia="標楷體"/>
          <w:szCs w:val="24"/>
        </w:rPr>
        <w:t>協辦單位：高雄市政府教育局</w:t>
      </w:r>
    </w:p>
    <w:p>
      <w:pPr>
        <w:pStyle w:val="Style20"/>
        <w:numPr>
          <w:ilvl w:val="0"/>
          <w:numId w:val="4"/>
        </w:numPr>
        <w:autoSpaceDE w:val="false"/>
        <w:ind w:left="851" w:hanging="483"/>
        <w:rPr>
          <w:rFonts w:ascii="Times New Roman" w:hAnsi="Times New Roman" w:eastAsia="標楷體" w:cs="Times New Roman"/>
          <w:bCs/>
          <w:szCs w:val="24"/>
        </w:rPr>
      </w:pPr>
      <w:r>
        <w:rPr>
          <w:rFonts w:ascii="Times New Roman" w:hAnsi="Times New Roman" w:cs="Times New Roman" w:eastAsia="標楷體"/>
          <w:bCs/>
          <w:szCs w:val="24"/>
        </w:rPr>
        <w:t>承辦單位：國立新化高工王富瑾教師</w:t>
      </w:r>
    </w:p>
    <w:p>
      <w:pPr>
        <w:pStyle w:val="Style20"/>
        <w:autoSpaceDE w:val="false"/>
        <w:ind w:left="851" w:hanging="0"/>
        <w:rPr>
          <w:rFonts w:ascii="Times New Roman" w:hAnsi="Times New Roman" w:eastAsia="標楷體" w:cs="Times New Roman"/>
          <w:bCs/>
          <w:szCs w:val="24"/>
        </w:rPr>
      </w:pPr>
      <w:r>
        <w:rPr>
          <w:rFonts w:eastAsia="標楷體" w:cs="Times New Roman" w:ascii="Times New Roman" w:hAnsi="Times New Roman"/>
          <w:bCs/>
          <w:szCs w:val="24"/>
        </w:rPr>
      </w:r>
    </w:p>
    <w:p>
      <w:pPr>
        <w:pStyle w:val="ListParagraph1"/>
        <w:numPr>
          <w:ilvl w:val="0"/>
          <w:numId w:val="1"/>
        </w:numPr>
        <w:autoSpaceDE w:val="false"/>
        <w:spacing w:lineRule="atLeast" w:line="240" w:before="100" w:after="0"/>
        <w:ind w:left="567" w:hanging="567"/>
        <w:rPr>
          <w:rFonts w:ascii="Times New Roman" w:hAnsi="Times New Roman" w:eastAsia="標楷體" w:cs="Times New Roman"/>
          <w:b/>
          <w:b/>
          <w:bCs/>
        </w:rPr>
      </w:pPr>
      <w:r>
        <w:rPr>
          <w:rFonts w:ascii="Times New Roman" w:hAnsi="Times New Roman" w:cs="Times New Roman" w:eastAsia="標楷體"/>
          <w:b/>
          <w:bCs/>
        </w:rPr>
        <w:t>活動方式</w:t>
      </w:r>
    </w:p>
    <w:p>
      <w:pPr>
        <w:pStyle w:val="Style20"/>
        <w:numPr>
          <w:ilvl w:val="0"/>
          <w:numId w:val="5"/>
        </w:numPr>
        <w:autoSpaceDE w:val="false"/>
        <w:rPr>
          <w:rFonts w:ascii="Times New Roman" w:hAnsi="Times New Roman" w:eastAsia="標楷體" w:cs="Times New Roman"/>
          <w:bCs/>
          <w:szCs w:val="24"/>
        </w:rPr>
      </w:pPr>
      <w:r>
        <w:rPr>
          <w:rFonts w:ascii="Times New Roman" w:hAnsi="Times New Roman" w:cs="Times New Roman" w:eastAsia="標楷體"/>
          <w:bCs/>
          <w:szCs w:val="24"/>
        </w:rPr>
        <w:t>時    間：</w:t>
      </w:r>
      <w:r>
        <w:rPr>
          <w:rFonts w:eastAsia="標楷體" w:cs="Times New Roman" w:ascii="Times New Roman" w:hAnsi="Times New Roman"/>
          <w:bCs/>
          <w:szCs w:val="24"/>
        </w:rPr>
        <w:t>110</w:t>
      </w:r>
      <w:r>
        <w:rPr>
          <w:rFonts w:ascii="Times New Roman" w:hAnsi="Times New Roman" w:cs="Times New Roman" w:eastAsia="標楷體"/>
          <w:bCs/>
          <w:szCs w:val="24"/>
        </w:rPr>
        <w:t>年</w:t>
      </w:r>
      <w:r>
        <w:rPr>
          <w:rFonts w:eastAsia="標楷體" w:cs="Times New Roman" w:ascii="Times New Roman" w:hAnsi="Times New Roman"/>
          <w:bCs/>
          <w:szCs w:val="24"/>
        </w:rPr>
        <w:t>05</w:t>
      </w:r>
      <w:r>
        <w:rPr>
          <w:rFonts w:ascii="Times New Roman" w:hAnsi="Times New Roman" w:cs="Times New Roman" w:eastAsia="標楷體"/>
          <w:bCs/>
          <w:szCs w:val="24"/>
        </w:rPr>
        <w:t>月</w:t>
      </w:r>
      <w:r>
        <w:rPr>
          <w:rFonts w:eastAsia="標楷體" w:cs="Times New Roman" w:ascii="Times New Roman" w:hAnsi="Times New Roman"/>
          <w:bCs/>
          <w:szCs w:val="24"/>
        </w:rPr>
        <w:t>20</w:t>
      </w:r>
      <w:r>
        <w:rPr>
          <w:rFonts w:ascii="Times New Roman" w:hAnsi="Times New Roman" w:cs="Times New Roman" w:eastAsia="標楷體"/>
          <w:bCs/>
          <w:szCs w:val="24"/>
        </w:rPr>
        <w:t>日</w:t>
      </w:r>
      <w:r>
        <w:rPr>
          <w:rFonts w:eastAsia="標楷體" w:cs="Times New Roman" w:ascii="Times New Roman" w:hAnsi="Times New Roman"/>
          <w:bCs/>
          <w:szCs w:val="24"/>
        </w:rPr>
        <w:t>(</w:t>
      </w:r>
      <w:r>
        <w:rPr>
          <w:rFonts w:ascii="Times New Roman" w:hAnsi="Times New Roman" w:cs="Times New Roman" w:eastAsia="標楷體"/>
          <w:bCs/>
          <w:szCs w:val="24"/>
        </w:rPr>
        <w:t>星期四</w:t>
      </w:r>
      <w:r>
        <w:rPr>
          <w:rFonts w:eastAsia="標楷體" w:cs="Times New Roman" w:ascii="Times New Roman" w:hAnsi="Times New Roman"/>
          <w:bCs/>
          <w:szCs w:val="24"/>
        </w:rPr>
        <w:t>)14:00-18:00</w:t>
      </w:r>
    </w:p>
    <w:p>
      <w:pPr>
        <w:pStyle w:val="Style20"/>
        <w:numPr>
          <w:ilvl w:val="0"/>
          <w:numId w:val="5"/>
        </w:numPr>
        <w:autoSpaceDE w:val="false"/>
        <w:rPr>
          <w:rFonts w:ascii="Times New Roman" w:hAnsi="Times New Roman" w:eastAsia="標楷體" w:cs="Times New Roman"/>
          <w:bCs/>
          <w:szCs w:val="24"/>
        </w:rPr>
      </w:pPr>
      <w:r>
        <w:rPr>
          <w:rFonts w:ascii="Times New Roman" w:hAnsi="Times New Roman" w:cs="Times New Roman" w:eastAsia="標楷體"/>
          <w:bCs/>
          <w:szCs w:val="24"/>
        </w:rPr>
        <w:t>地    點：國立台南一中 人文教育大樓一樓 多功能教室</w:t>
      </w:r>
    </w:p>
    <w:p>
      <w:pPr>
        <w:pStyle w:val="Style20"/>
        <w:numPr>
          <w:ilvl w:val="0"/>
          <w:numId w:val="5"/>
        </w:numPr>
        <w:autoSpaceDE w:val="false"/>
        <w:rPr>
          <w:rFonts w:ascii="Times New Roman" w:hAnsi="Times New Roman" w:eastAsia="標楷體" w:cs="Times New Roman"/>
          <w:bCs/>
          <w:szCs w:val="24"/>
        </w:rPr>
      </w:pPr>
      <w:r>
        <w:rPr>
          <w:rFonts w:ascii="Times New Roman" w:hAnsi="Times New Roman" w:cs="Times New Roman" w:eastAsia="標楷體"/>
          <w:bCs/>
          <w:szCs w:val="24"/>
        </w:rPr>
        <w:t>講    師：司法院司法行政廳鄭昱仁法官、張季崴專員、林晏竹專員</w:t>
      </w:r>
    </w:p>
    <w:p>
      <w:pPr>
        <w:pStyle w:val="Style20"/>
        <w:numPr>
          <w:ilvl w:val="0"/>
          <w:numId w:val="5"/>
        </w:numPr>
        <w:autoSpaceDE w:val="false"/>
        <w:rPr/>
      </w:pPr>
      <w:r>
        <w:rPr>
          <w:rStyle w:val="Style14"/>
          <w:rFonts w:ascii="Times New Roman" w:hAnsi="Times New Roman" w:cs="Times New Roman" w:eastAsia="標楷體"/>
          <w:szCs w:val="24"/>
        </w:rPr>
        <w:t>參加對象：南投縣市、雲林縣、嘉義縣市、臺南市、高雄市、屏東縣市公私立高中職教師</w:t>
      </w:r>
      <w:r>
        <w:rPr>
          <w:rStyle w:val="Style14"/>
          <w:rFonts w:ascii="Times New Roman" w:hAnsi="Times New Roman" w:cs="Times New Roman" w:eastAsia="標楷體"/>
          <w:bCs/>
          <w:szCs w:val="24"/>
        </w:rPr>
        <w:t>；</w:t>
      </w:r>
      <w:r>
        <w:rPr>
          <w:rStyle w:val="Style14"/>
          <w:rFonts w:ascii="Times New Roman" w:hAnsi="Times New Roman" w:cs="Times New Roman" w:eastAsia="標楷體"/>
          <w:szCs w:val="24"/>
        </w:rPr>
        <w:t>依報名先後順序錄取，錄取名額以</w:t>
      </w:r>
      <w:r>
        <w:rPr>
          <w:rStyle w:val="Style14"/>
          <w:rFonts w:eastAsia="標楷體" w:cs="Times New Roman" w:ascii="Times New Roman" w:hAnsi="Times New Roman"/>
          <w:szCs w:val="24"/>
        </w:rPr>
        <w:t>35</w:t>
      </w:r>
      <w:r>
        <w:rPr>
          <w:rStyle w:val="Style14"/>
          <w:rFonts w:ascii="Times New Roman" w:hAnsi="Times New Roman" w:cs="Times New Roman" w:eastAsia="標楷體"/>
          <w:szCs w:val="24"/>
        </w:rPr>
        <w:t>名為限</w:t>
      </w:r>
    </w:p>
    <w:p>
      <w:pPr>
        <w:pStyle w:val="Style20"/>
        <w:numPr>
          <w:ilvl w:val="0"/>
          <w:numId w:val="5"/>
        </w:numPr>
        <w:autoSpaceDE w:val="false"/>
        <w:rPr/>
      </w:pPr>
      <w:r>
        <w:rPr>
          <w:rStyle w:val="Style14"/>
          <w:rFonts w:ascii="標楷體" w:hAnsi="標楷體" w:cs="Times New Roman" w:eastAsia="標楷體"/>
          <w:szCs w:val="24"/>
        </w:rPr>
        <w:t>報名方式：</w:t>
      </w:r>
      <w:r>
        <w:rPr>
          <w:rStyle w:val="Style14"/>
          <w:rFonts w:ascii="標楷體" w:hAnsi="標楷體" w:eastAsia="標楷體"/>
          <w:szCs w:val="24"/>
        </w:rPr>
        <w:t>請登入全國教師在職進修</w:t>
      </w:r>
      <w:r>
        <w:rPr>
          <w:rStyle w:val="Style14"/>
          <w:rFonts w:eastAsia="標楷體" w:ascii="標楷體" w:hAnsi="標楷體"/>
          <w:szCs w:val="24"/>
        </w:rPr>
        <w:t>http://www3.inservice.edu.tw/</w:t>
      </w:r>
      <w:r>
        <w:rPr>
          <w:rStyle w:val="Style14"/>
          <w:rFonts w:ascii="標楷體" w:hAnsi="標楷體" w:eastAsia="標楷體"/>
          <w:szCs w:val="24"/>
        </w:rPr>
        <w:t>，依課程代碼</w:t>
      </w:r>
      <w:r>
        <w:rPr>
          <w:rStyle w:val="Style14"/>
          <w:rFonts w:eastAsia="標楷體" w:ascii="標楷體" w:hAnsi="標楷體"/>
          <w:szCs w:val="24"/>
        </w:rPr>
        <w:t>3080274</w:t>
      </w:r>
      <w:r>
        <w:rPr>
          <w:rStyle w:val="Style14"/>
          <w:rFonts w:ascii="標楷體" w:hAnsi="標楷體" w:eastAsia="標楷體"/>
          <w:szCs w:val="24"/>
        </w:rPr>
        <w:t>蒐尋；研習前三日起恕不受理取消報名。</w:t>
      </w:r>
    </w:p>
    <w:p>
      <w:pPr>
        <w:pStyle w:val="Style20"/>
        <w:numPr>
          <w:ilvl w:val="0"/>
          <w:numId w:val="5"/>
        </w:numPr>
        <w:autoSpaceDE w:val="false"/>
        <w:rPr>
          <w:rFonts w:ascii="標楷體" w:hAnsi="標楷體" w:eastAsia="標楷體" w:cs="Times New Roman"/>
          <w:szCs w:val="24"/>
        </w:rPr>
      </w:pPr>
      <w:r>
        <w:rPr>
          <w:rFonts w:ascii="標楷體" w:hAnsi="標楷體" w:cs="Times New Roman" w:eastAsia="標楷體"/>
          <w:szCs w:val="24"/>
        </w:rPr>
        <w:t>研習時數：全程參加者核予研習時數</w:t>
      </w:r>
      <w:r>
        <w:rPr>
          <w:rFonts w:eastAsia="標楷體" w:cs="Times New Roman" w:ascii="標楷體" w:hAnsi="標楷體"/>
          <w:szCs w:val="24"/>
        </w:rPr>
        <w:t>3</w:t>
      </w:r>
      <w:r>
        <w:rPr>
          <w:rFonts w:ascii="標楷體" w:hAnsi="標楷體" w:cs="Times New Roman" w:eastAsia="標楷體"/>
          <w:szCs w:val="24"/>
        </w:rPr>
        <w:t>小時。</w:t>
      </w:r>
    </w:p>
    <w:p>
      <w:pPr>
        <w:pStyle w:val="Style20"/>
        <w:numPr>
          <w:ilvl w:val="0"/>
          <w:numId w:val="5"/>
        </w:numPr>
        <w:autoSpaceDE w:val="false"/>
        <w:rPr>
          <w:rFonts w:ascii="標楷體" w:hAnsi="標楷體" w:eastAsia="標楷體" w:cs="Times New Roman"/>
          <w:szCs w:val="24"/>
        </w:rPr>
      </w:pPr>
      <w:r>
        <w:rPr>
          <w:rFonts w:ascii="標楷體" w:hAnsi="標楷體" w:cs="Times New Roman" w:eastAsia="標楷體"/>
          <w:szCs w:val="24"/>
        </w:rPr>
        <w:t>請准予參加教師公（差）假，差旅費由各服務學校報支。</w:t>
      </w:r>
      <w:r>
        <w:br w:type="page"/>
      </w:r>
    </w:p>
    <w:p>
      <w:pPr>
        <w:pStyle w:val="Style20"/>
        <w:widowControl/>
        <w:rPr>
          <w:rFonts w:ascii="標楷體" w:hAnsi="標楷體" w:eastAsia="標楷體" w:cs="Times New Roman"/>
          <w:szCs w:val="24"/>
        </w:rPr>
      </w:pPr>
      <w:r>
        <w:rPr>
          <w:rFonts w:eastAsia="標楷體" w:cs="Times New Roman" w:ascii="標楷體" w:hAnsi="標楷體"/>
          <w:szCs w:val="24"/>
        </w:rPr>
      </w:r>
    </w:p>
    <w:p>
      <w:pPr>
        <w:pStyle w:val="ListParagraph1"/>
        <w:numPr>
          <w:ilvl w:val="0"/>
          <w:numId w:val="1"/>
        </w:numPr>
        <w:autoSpaceDE w:val="false"/>
        <w:spacing w:lineRule="atLeast" w:line="240" w:before="100" w:after="0"/>
        <w:ind w:left="567" w:hanging="567"/>
        <w:rPr>
          <w:rFonts w:ascii="Times New Roman" w:hAnsi="Times New Roman" w:eastAsia="標楷體" w:cs="Times New Roman"/>
          <w:b/>
          <w:b/>
          <w:bCs/>
        </w:rPr>
      </w:pPr>
      <w:r>
        <w:rPr>
          <w:rFonts w:ascii="Times New Roman" w:hAnsi="Times New Roman" w:cs="Times New Roman" w:eastAsia="標楷體"/>
          <w:b/>
          <w:bCs/>
        </w:rPr>
        <w:t>時間表</w:t>
      </w:r>
    </w:p>
    <w:tbl>
      <w:tblPr>
        <w:tblW w:w="103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097"/>
        <w:gridCol w:w="4419"/>
        <w:gridCol w:w="3802"/>
      </w:tblGrid>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Times New Roman" w:hAnsi="Times New Roman" w:eastAsia="標楷體" w:cs="Times New Roman"/>
                <w:bCs/>
                <w:szCs w:val="24"/>
              </w:rPr>
            </w:pPr>
            <w:r>
              <w:rPr>
                <w:rFonts w:ascii="Times New Roman" w:hAnsi="Times New Roman" w:cs="Times New Roman" w:eastAsia="標楷體"/>
                <w:bCs/>
                <w:szCs w:val="24"/>
              </w:rPr>
              <w:t>時 間</w:t>
            </w:r>
          </w:p>
        </w:tc>
        <w:tc>
          <w:tcPr>
            <w:tcW w:w="4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Times New Roman" w:hAnsi="Times New Roman" w:eastAsia="標楷體" w:cs="Times New Roman"/>
                <w:bCs/>
                <w:szCs w:val="24"/>
              </w:rPr>
            </w:pPr>
            <w:r>
              <w:rPr>
                <w:rFonts w:ascii="Times New Roman" w:hAnsi="Times New Roman" w:cs="Times New Roman" w:eastAsia="標楷體"/>
                <w:bCs/>
                <w:szCs w:val="24"/>
              </w:rPr>
              <w:t>課程內容</w:t>
            </w:r>
          </w:p>
        </w:tc>
        <w:tc>
          <w:tcPr>
            <w:tcW w:w="3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Times New Roman" w:hAnsi="Times New Roman" w:eastAsia="標楷體" w:cs="Times New Roman"/>
                <w:bCs/>
                <w:szCs w:val="24"/>
              </w:rPr>
            </w:pPr>
            <w:r>
              <w:rPr>
                <w:rFonts w:ascii="Times New Roman" w:hAnsi="Times New Roman" w:cs="Times New Roman" w:eastAsia="標楷體"/>
                <w:bCs/>
                <w:szCs w:val="24"/>
              </w:rPr>
              <w:t>主持人</w:t>
            </w:r>
            <w:r>
              <w:rPr>
                <w:rFonts w:eastAsia="標楷體" w:cs="Times New Roman" w:ascii="Times New Roman" w:hAnsi="Times New Roman"/>
                <w:bCs/>
                <w:szCs w:val="24"/>
              </w:rPr>
              <w:t>/</w:t>
            </w:r>
            <w:r>
              <w:rPr>
                <w:rFonts w:ascii="Times New Roman" w:hAnsi="Times New Roman" w:cs="Times New Roman" w:eastAsia="標楷體"/>
                <w:bCs/>
                <w:szCs w:val="24"/>
              </w:rPr>
              <w:t>主講人</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13:40~14:00</w:t>
            </w:r>
          </w:p>
        </w:tc>
        <w:tc>
          <w:tcPr>
            <w:tcW w:w="82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ascii="標楷體" w:hAnsi="標楷體" w:cs="Times New Roman" w:eastAsia="標楷體"/>
                <w:bCs/>
                <w:szCs w:val="24"/>
              </w:rPr>
              <w:t>報到</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14:00~16:00</w:t>
            </w:r>
          </w:p>
        </w:tc>
        <w:tc>
          <w:tcPr>
            <w:tcW w:w="4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spacing w:lineRule="auto" w:line="276"/>
              <w:rPr/>
            </w:pPr>
            <w:r>
              <w:rPr>
                <w:rStyle w:val="Style14"/>
                <w:rFonts w:ascii="Times New Roman" w:hAnsi="Times New Roman" w:cs="Times New Roman" w:eastAsia="標楷體"/>
              </w:rPr>
              <w:t>霧中審判</w:t>
            </w:r>
            <w:r>
              <w:rPr>
                <w:rStyle w:val="Style14"/>
                <w:rFonts w:ascii="新細明體" w:hAnsi="新細明體" w:cs="Times New Roman"/>
              </w:rPr>
              <w:t>：</w:t>
            </w:r>
            <w:r>
              <w:rPr>
                <w:rStyle w:val="Style14"/>
                <w:rFonts w:ascii="Times New Roman" w:hAnsi="Times New Roman" w:cs="Times New Roman" w:eastAsia="標楷體"/>
              </w:rPr>
              <w:t>桌遊設計理念說明及實作</w:t>
            </w:r>
          </w:p>
        </w:tc>
        <w:tc>
          <w:tcPr>
            <w:tcW w:w="3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rPr/>
            </w:pPr>
            <w:r>
              <w:rPr>
                <w:rStyle w:val="Style14"/>
                <w:rFonts w:ascii="標楷體" w:hAnsi="標楷體" w:cs="Times New Roman" w:eastAsia="標楷體"/>
                <w:szCs w:val="24"/>
              </w:rPr>
              <w:t>鄭昱仁法官、張季崴專員、林晏竹專員</w:t>
            </w:r>
            <w:r>
              <w:rPr>
                <w:rStyle w:val="Style14"/>
                <w:rFonts w:eastAsia="標楷體" w:cs="Times New Roman" w:ascii="標楷體" w:hAnsi="標楷體"/>
                <w:szCs w:val="24"/>
              </w:rPr>
              <w:t>/</w:t>
            </w:r>
            <w:r>
              <w:rPr>
                <w:rStyle w:val="Style14"/>
                <w:rFonts w:ascii="Times New Roman" w:hAnsi="Times New Roman" w:cs="Times New Roman" w:eastAsia="標楷體"/>
                <w:bCs/>
                <w:szCs w:val="24"/>
              </w:rPr>
              <w:t>司法院司法行政廳</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16:00~16:20</w:t>
            </w:r>
          </w:p>
        </w:tc>
        <w:tc>
          <w:tcPr>
            <w:tcW w:w="82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szCs w:val="24"/>
              </w:rPr>
            </w:pPr>
            <w:r>
              <w:rPr>
                <w:rFonts w:ascii="標楷體" w:hAnsi="標楷體" w:cs="Times New Roman" w:eastAsia="標楷體"/>
                <w:szCs w:val="24"/>
              </w:rPr>
              <w:t>休息</w:t>
            </w:r>
          </w:p>
        </w:tc>
      </w:tr>
      <w:tr>
        <w:trPr>
          <w:trHeight w:val="437"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16:20~17:20</w:t>
            </w:r>
          </w:p>
        </w:tc>
        <w:tc>
          <w:tcPr>
            <w:tcW w:w="4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rPr>
                <w:rFonts w:ascii="標楷體" w:hAnsi="標楷體" w:eastAsia="標楷體" w:cs="Times New Roman"/>
                <w:bCs/>
                <w:szCs w:val="24"/>
              </w:rPr>
            </w:pPr>
            <w:r>
              <w:rPr>
                <w:rFonts w:ascii="標楷體" w:hAnsi="標楷體" w:cs="Times New Roman" w:eastAsia="標楷體"/>
                <w:bCs/>
                <w:szCs w:val="24"/>
              </w:rPr>
              <w:t>桌遊融入：人權與法律議題之教學探討</w:t>
            </w:r>
          </w:p>
        </w:tc>
        <w:tc>
          <w:tcPr>
            <w:tcW w:w="3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rPr/>
            </w:pPr>
            <w:r>
              <w:rPr>
                <w:rStyle w:val="Style14"/>
                <w:rFonts w:ascii="標楷體" w:hAnsi="標楷體" w:cs="Times New Roman" w:eastAsia="標楷體"/>
                <w:szCs w:val="24"/>
              </w:rPr>
              <w:t>鄭昱仁法官、張季崴專員、林晏竹專員</w:t>
            </w:r>
            <w:r>
              <w:rPr>
                <w:rStyle w:val="Style14"/>
                <w:rFonts w:eastAsia="標楷體" w:cs="Times New Roman" w:ascii="標楷體" w:hAnsi="標楷體"/>
                <w:szCs w:val="24"/>
              </w:rPr>
              <w:t>/</w:t>
            </w:r>
            <w:r>
              <w:rPr>
                <w:rStyle w:val="Style14"/>
                <w:rFonts w:ascii="Times New Roman" w:hAnsi="Times New Roman" w:cs="Times New Roman" w:eastAsia="標楷體"/>
                <w:bCs/>
                <w:szCs w:val="24"/>
              </w:rPr>
              <w:t>司法院司法行政廳</w:t>
            </w:r>
          </w:p>
        </w:tc>
      </w:tr>
      <w:tr>
        <w:trPr>
          <w:trHeight w:val="462" w:hRule="atLeast"/>
          <w:cantSplit w:val="true"/>
        </w:trPr>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jc w:val="center"/>
              <w:rPr>
                <w:rFonts w:ascii="標楷體" w:hAnsi="標楷體" w:eastAsia="標楷體" w:cs="Times New Roman"/>
                <w:bCs/>
                <w:szCs w:val="24"/>
              </w:rPr>
            </w:pPr>
            <w:r>
              <w:rPr>
                <w:rFonts w:eastAsia="標楷體" w:cs="Times New Roman" w:ascii="標楷體" w:hAnsi="標楷體"/>
                <w:bCs/>
                <w:szCs w:val="24"/>
              </w:rPr>
              <w:t>17:20~18:00</w:t>
            </w:r>
          </w:p>
        </w:tc>
        <w:tc>
          <w:tcPr>
            <w:tcW w:w="82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0"/>
              <w:snapToGrid w:val="false"/>
              <w:ind w:firstLine="3120"/>
              <w:rPr>
                <w:rFonts w:ascii="標楷體" w:hAnsi="標楷體" w:eastAsia="標楷體" w:cs="Times New Roman"/>
                <w:szCs w:val="24"/>
              </w:rPr>
            </w:pPr>
            <w:r>
              <w:rPr>
                <w:rFonts w:ascii="標楷體" w:hAnsi="標楷體" w:cs="Times New Roman" w:eastAsia="標楷體"/>
                <w:szCs w:val="24"/>
              </w:rPr>
              <w:t>綜合座談</w:t>
            </w:r>
          </w:p>
        </w:tc>
      </w:tr>
    </w:tbl>
    <w:p>
      <w:pPr>
        <w:pStyle w:val="ListParagraph1"/>
        <w:numPr>
          <w:ilvl w:val="0"/>
          <w:numId w:val="1"/>
        </w:numPr>
        <w:autoSpaceDE w:val="false"/>
        <w:spacing w:lineRule="atLeast" w:line="240" w:before="100" w:after="0"/>
        <w:ind w:left="567" w:hanging="567"/>
        <w:rPr/>
      </w:pPr>
      <w:r>
        <w:rPr>
          <w:rStyle w:val="Style14"/>
          <w:rFonts w:ascii="標楷體" w:hAnsi="標楷體" w:cs="Times New Roman" w:eastAsia="標楷體"/>
          <w:b/>
        </w:rPr>
        <w:t>其他事項：</w:t>
      </w:r>
    </w:p>
    <w:p>
      <w:pPr>
        <w:pStyle w:val="Style20"/>
        <w:numPr>
          <w:ilvl w:val="0"/>
          <w:numId w:val="6"/>
        </w:numPr>
        <w:autoSpaceDE w:val="false"/>
        <w:spacing w:lineRule="exact" w:line="320"/>
        <w:ind w:left="851" w:hanging="483"/>
        <w:rPr>
          <w:rFonts w:ascii="Times New Roman" w:hAnsi="Times New Roman" w:eastAsia="標楷體" w:cs="Times New Roman"/>
          <w:szCs w:val="24"/>
        </w:rPr>
      </w:pPr>
      <w:r>
        <w:rPr>
          <w:rFonts w:ascii="Times New Roman" w:hAnsi="Times New Roman" w:cs="Times New Roman" w:eastAsia="標楷體"/>
          <w:szCs w:val="24"/>
        </w:rPr>
        <w:t>為響應環保，請自行攜帶環保筷、環保杯，本活動不提供紙杯。</w:t>
      </w:r>
    </w:p>
    <w:p>
      <w:pPr>
        <w:pStyle w:val="Style20"/>
        <w:numPr>
          <w:ilvl w:val="0"/>
          <w:numId w:val="6"/>
        </w:numPr>
        <w:autoSpaceDE w:val="false"/>
        <w:spacing w:lineRule="exact" w:line="320"/>
        <w:ind w:left="851" w:hanging="483"/>
        <w:rPr>
          <w:rFonts w:ascii="Times New Roman" w:hAnsi="Times New Roman" w:eastAsia="標楷體" w:cs="Times New Roman"/>
          <w:szCs w:val="24"/>
        </w:rPr>
      </w:pPr>
      <w:r>
        <w:rPr>
          <w:rFonts w:ascii="Times New Roman" w:hAnsi="Times New Roman" w:cs="Times New Roman" w:eastAsia="標楷體"/>
          <w:szCs w:val="24"/>
        </w:rPr>
        <w:t>聯絡人：公民與社會學科中心 顏淳妮小姐，電話：</w:t>
      </w:r>
      <w:r>
        <w:rPr>
          <w:rFonts w:eastAsia="標楷體" w:cs="Times New Roman" w:ascii="Times New Roman" w:hAnsi="Times New Roman"/>
          <w:szCs w:val="24"/>
        </w:rPr>
        <w:t>06-2371206#601</w:t>
      </w:r>
      <w:r>
        <w:rPr>
          <w:rFonts w:ascii="Times New Roman" w:hAnsi="Times New Roman" w:cs="Times New Roman" w:eastAsia="標楷體"/>
          <w:szCs w:val="24"/>
        </w:rPr>
        <w:t>，電子郵件：</w:t>
      </w:r>
      <w:r>
        <w:rPr>
          <w:rFonts w:eastAsia="標楷體" w:cs="Times New Roman" w:ascii="Times New Roman" w:hAnsi="Times New Roman"/>
          <w:szCs w:val="24"/>
        </w:rPr>
        <w:t>chunni@gm.tnfsh.tn.edu.tw</w:t>
      </w:r>
      <w:r>
        <w:rPr>
          <w:rFonts w:ascii="Times New Roman" w:hAnsi="Times New Roman" w:cs="Times New Roman" w:eastAsia="標楷體"/>
          <w:szCs w:val="24"/>
        </w:rPr>
        <w:t>。</w:t>
      </w:r>
    </w:p>
    <w:p>
      <w:pPr>
        <w:pStyle w:val="Style20"/>
        <w:rPr>
          <w:rFonts w:ascii="Times New Roman" w:hAnsi="Times New Roman" w:eastAsia="標楷體" w:cs="Times New Roman"/>
          <w:szCs w:val="24"/>
        </w:rPr>
      </w:pPr>
      <w:r>
        <w:rPr>
          <w:rFonts w:eastAsia="標楷體" w:cs="Times New Roman" w:ascii="Times New Roman" w:hAnsi="Times New Roman"/>
          <w:szCs w:val="24"/>
        </w:rPr>
      </w:r>
    </w:p>
    <w:p>
      <w:pPr>
        <w:pStyle w:val="Style20"/>
        <w:rPr/>
      </w:pPr>
      <w:r>
        <w:rPr/>
      </w:r>
    </w:p>
    <w:sectPr>
      <w:type w:val="nextPage"/>
      <w:pgSz w:w="11906" w:h="16838"/>
      <w:pgMar w:left="720" w:right="720" w:header="0" w:top="964" w:footer="0" w:bottom="964"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720" w:hanging="720"/>
      </w:pPr>
      <w:rPr>
        <w:b/>
        <w:bCs/>
        <w:rFonts w:cs="Times New Roman"/>
      </w:rPr>
    </w:lvl>
    <w:lvl w:ilvl="1">
      <w:start w:val="1"/>
      <w:numFmt w:val="decimal"/>
      <w:lvlText w:val="(%2)"/>
      <w:lvlJc w:val="left"/>
      <w:pPr>
        <w:ind w:left="960" w:hanging="480"/>
      </w:pPr>
    </w:lvl>
    <w:lvl w:ilvl="2">
      <w:start w:val="1"/>
      <w:numFmt w:val="decimal"/>
      <w:lvlText w:val="%3."/>
      <w:lvlJc w:val="left"/>
      <w:pPr>
        <w:ind w:left="1440" w:hanging="480"/>
      </w:pPr>
      <w:rPr>
        <w:b w:val="false"/>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lvl w:ilvl="0">
      <w:start w:val="1"/>
      <w:numFmt w:val="decimal"/>
      <w:lvlText w:val="%1、"/>
      <w:lvlJc w:val="left"/>
      <w:pPr>
        <w:ind w:left="1230" w:hanging="720"/>
      </w:pPr>
      <w:rPr>
        <w:lang w:val="en-US"/>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本文 字元"/>
    <w:basedOn w:val="Style14"/>
    <w:qFormat/>
    <w:rPr>
      <w:rFonts w:ascii="Times New Roman" w:hAnsi="Times New Roman" w:eastAsia="標楷體" w:cs="Times New Roman"/>
      <w:sz w:val="32"/>
      <w:szCs w:val="32"/>
    </w:rPr>
  </w:style>
  <w:style w:type="character" w:styleId="Style16">
    <w:name w:val="超連結"/>
    <w:basedOn w:val="Style14"/>
    <w:qFormat/>
    <w:rPr>
      <w:color w:val="0563C1"/>
      <w:u w:val="single"/>
    </w:rPr>
  </w:style>
  <w:style w:type="character" w:styleId="Style17">
    <w:name w:val="已查閱的超連結"/>
    <w:basedOn w:val="Style14"/>
    <w:qFormat/>
    <w:rPr>
      <w:color w:val="954F72"/>
      <w:u w:val="single"/>
    </w:rPr>
  </w:style>
  <w:style w:type="character" w:styleId="Style18">
    <w:name w:val="頁首 字元"/>
    <w:basedOn w:val="Style14"/>
    <w:qFormat/>
    <w:rPr>
      <w:sz w:val="20"/>
      <w:szCs w:val="20"/>
    </w:rPr>
  </w:style>
  <w:style w:type="character" w:styleId="Style19">
    <w:name w:val="頁尾 字元"/>
    <w:basedOn w:val="Style14"/>
    <w:qFormat/>
    <w:rPr>
      <w:sz w:val="20"/>
      <w:szCs w:val="20"/>
    </w:rPr>
  </w:style>
  <w:style w:type="character" w:styleId="WWCharLFO1LVL1">
    <w:name w:val="WW_CharLFO1LVL1"/>
    <w:qFormat/>
    <w:rPr>
      <w:rFonts w:cs="Times New Roman"/>
      <w:b/>
      <w:bCs/>
    </w:rPr>
  </w:style>
  <w:style w:type="character" w:styleId="WWCharLFO1LVL3">
    <w:name w:val="WW_CharLFO1LVL3"/>
    <w:qFormat/>
    <w:rPr>
      <w:b w:val="false"/>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lang w:val="en-US"/>
    </w:rPr>
  </w:style>
  <w:style w:type="character" w:styleId="WWCharLFO5LVL1">
    <w:name w:val="WW_CharLFO5LVL1"/>
    <w:qFormat/>
    <w:rPr>
      <w:lang w:val="en-US"/>
    </w:rPr>
  </w:style>
  <w:style w:type="character" w:styleId="WWCharLFO6LVL1">
    <w:name w:val="WW_CharLFO6LVL1"/>
    <w:qFormat/>
    <w:rPr>
      <w:lang w:val="en-US"/>
    </w:rPr>
  </w:style>
  <w:style w:type="character" w:styleId="WWCharLFO7LVL1">
    <w:name w:val="WW_CharLFO7LVL1"/>
    <w:qFormat/>
    <w:rPr>
      <w:lang w:val="en-US"/>
    </w:rPr>
  </w:style>
  <w:style w:type="character" w:styleId="WWCharLFO8LVL1">
    <w:name w:val="WW_CharLFO8LVL1"/>
    <w:qFormat/>
    <w:rPr>
      <w:lang w:val="en-US"/>
    </w:rPr>
  </w:style>
  <w:style w:type="character" w:styleId="WWCharLFO9LVL1">
    <w:name w:val="WW_CharLFO9LVL1"/>
    <w:qFormat/>
    <w:rPr>
      <w:lang w:val="en-US"/>
    </w:rPr>
  </w:style>
  <w:style w:type="character" w:styleId="WWCharLFO10LVL1">
    <w:name w:val="WW_CharLFO10LVL1"/>
    <w:qFormat/>
    <w:rPr>
      <w:lang w:val="en-US"/>
    </w:rPr>
  </w:style>
  <w:style w:type="character" w:styleId="WWCharLFO11LVL1">
    <w:name w:val="WW_CharLFO11LVL1"/>
    <w:qFormat/>
    <w:rPr>
      <w:lang w:val="en-US"/>
    </w:rPr>
  </w:style>
  <w:style w:type="paragraph" w:styleId="Style20">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ListParagraph1">
    <w:name w:val="List Paragraph1"/>
    <w:basedOn w:val="Style20"/>
    <w:qFormat/>
    <w:pPr>
      <w:suppressAutoHyphens w:val="true"/>
      <w:ind w:left="480" w:hanging="0"/>
    </w:pPr>
    <w:rPr>
      <w:rFonts w:ascii="Calibri" w:hAnsi="Calibri" w:eastAsia="新細明體" w:cs="Calibri"/>
      <w:szCs w:val="24"/>
    </w:rPr>
  </w:style>
  <w:style w:type="paragraph" w:styleId="Style21">
    <w:name w:val="清單段落"/>
    <w:basedOn w:val="Style20"/>
    <w:qFormat/>
    <w:pPr>
      <w:suppressAutoHyphens w:val="true"/>
      <w:ind w:left="480" w:hanging="0"/>
    </w:pPr>
    <w:rPr/>
  </w:style>
  <w:style w:type="paragraph" w:styleId="Style22">
    <w:name w:val="本文"/>
    <w:basedOn w:val="Style20"/>
    <w:qFormat/>
    <w:pPr>
      <w:suppressAutoHyphens w:val="true"/>
    </w:pPr>
    <w:rPr>
      <w:rFonts w:ascii="Times New Roman" w:hAnsi="Times New Roman" w:eastAsia="標楷體" w:cs="Times New Roman"/>
      <w:sz w:val="32"/>
      <w:szCs w:val="32"/>
    </w:rPr>
  </w:style>
  <w:style w:type="paragraph" w:styleId="Style23">
    <w:name w:val="Header"/>
    <w:basedOn w:val="Style20"/>
    <w:pPr>
      <w:tabs>
        <w:tab w:val="center" w:pos="4153" w:leader="none"/>
        <w:tab w:val="right" w:pos="8306" w:leader="none"/>
      </w:tabs>
      <w:suppressAutoHyphens w:val="true"/>
      <w:snapToGrid w:val="false"/>
    </w:pPr>
    <w:rPr>
      <w:sz w:val="20"/>
      <w:szCs w:val="20"/>
    </w:rPr>
  </w:style>
  <w:style w:type="paragraph" w:styleId="Style24">
    <w:name w:val="Footer"/>
    <w:basedOn w:val="Style20"/>
    <w:pPr>
      <w:tabs>
        <w:tab w:val="center" w:pos="4153" w:leader="none"/>
        <w:tab w:val="right" w:pos="8306" w:leader="none"/>
      </w:tabs>
      <w:suppressAutoHyphens w:val="true"/>
      <w:snapToGrid w:val="false"/>
    </w:pPr>
    <w:rPr>
      <w:sz w:val="20"/>
      <w:szCs w:val="20"/>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LibreOffice/5.3.4.2$Windows_x86 LibreOffice_project/f82d347ccc0be322489bf7da61d7e4ad13fe2ff3</Application>
  <Pages>2</Pages>
  <Words>149</Words>
  <Characters>853</Characters>
  <CharactersWithSpaces>1001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2021-04-09T08:11:00Z</dcterms:created>
  <dc:creator>Windows 使用者</dc:creator>
  <dc:description/>
  <dc:language>zh-TW</dc:language>
  <cp:lastModifiedBy>Windows 使用者</cp:lastModifiedBy>
  <dcterms:modified xsi:type="dcterms:W3CDTF">2021-04-09T08:11:00Z</dcterms:modified>
  <cp:revision>2</cp:revision>
  <dc:subject/>
  <dc:title/>
</cp:coreProperties>
</file>