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37A6" w14:textId="21993D74" w:rsidR="00D7775E" w:rsidRPr="00D7775E" w:rsidRDefault="003275F1" w:rsidP="00D7775E">
      <w:pPr>
        <w:snapToGrid w:val="0"/>
        <w:jc w:val="center"/>
        <w:rPr>
          <w:rFonts w:ascii="標楷體" w:eastAsia="標楷體" w:hAnsi="標楷體" w:hint="eastAsia"/>
          <w:b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  <w:bookmarkStart w:id="0" w:name="_GoBack"/>
      <w:bookmarkEnd w:id="0"/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2314"/>
        <w:gridCol w:w="663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963DE87" w:rsidR="00B97A4F" w:rsidRPr="008A3824" w:rsidRDefault="000A43A6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舞蹈社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6CC1B9F3" w:rsidR="00B97A4F" w:rsidRPr="009219D6" w:rsidRDefault="000A43A6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2-</w:t>
            </w:r>
            <w:r w:rsidR="00B430CC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0518DDBE" w:rsidR="00B97A4F" w:rsidRPr="00712ABD" w:rsidRDefault="000A43A6" w:rsidP="00E133FA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2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E746D81" w14:textId="77777777" w:rsidR="000A43A6" w:rsidRDefault="000A43A6" w:rsidP="00D7775E">
            <w:pPr>
              <w:autoSpaceDE w:val="0"/>
              <w:autoSpaceDN w:val="0"/>
              <w:adjustRightInd w:val="0"/>
              <w:rPr>
                <w:rFonts w:ascii="BiauKai" w:eastAsia="BiauKai" w:cs="BiauKai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藝才</w:t>
            </w:r>
            <w:r>
              <w:rPr>
                <w:rFonts w:ascii="BiauKai" w:eastAsia="BiauKai" w:cs="BiauKai"/>
                <w:color w:val="000000"/>
                <w:kern w:val="0"/>
                <w:szCs w:val="24"/>
              </w:rPr>
              <w:t xml:space="preserve">J-A1 </w:t>
            </w: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開展個人身體表現之潛能，透過民族舞蹈要領表現個人特質。</w:t>
            </w:r>
          </w:p>
          <w:p w14:paraId="3399DC29" w14:textId="77777777" w:rsidR="000A43A6" w:rsidRDefault="000A43A6" w:rsidP="00D7775E">
            <w:pPr>
              <w:autoSpaceDE w:val="0"/>
              <w:autoSpaceDN w:val="0"/>
              <w:adjustRightInd w:val="0"/>
              <w:rPr>
                <w:rFonts w:ascii="BiauKai" w:eastAsia="BiauKai" w:cs="BiauKai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藝才</w:t>
            </w:r>
            <w:r>
              <w:rPr>
                <w:rFonts w:ascii="BiauKai" w:eastAsia="BiauKai" w:cs="BiauKai"/>
                <w:color w:val="000000"/>
                <w:kern w:val="0"/>
                <w:szCs w:val="24"/>
              </w:rPr>
              <w:t xml:space="preserve">J-A2 </w:t>
            </w: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關注藝術學習的系統思考，與建立問題解決的能力，並能理解藝術與生活達有效聯結。</w:t>
            </w:r>
          </w:p>
          <w:p w14:paraId="309FD2C2" w14:textId="77777777" w:rsidR="000A43A6" w:rsidRDefault="000A43A6" w:rsidP="00D7775E">
            <w:pPr>
              <w:autoSpaceDE w:val="0"/>
              <w:autoSpaceDN w:val="0"/>
              <w:adjustRightInd w:val="0"/>
              <w:rPr>
                <w:rFonts w:ascii="BiauKai" w:eastAsia="BiauKai" w:cs="BiauKai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藝才</w:t>
            </w:r>
            <w:r>
              <w:rPr>
                <w:rFonts w:ascii="BiauKai" w:eastAsia="BiauKai" w:cs="BiauKai"/>
                <w:color w:val="000000"/>
                <w:kern w:val="0"/>
                <w:szCs w:val="24"/>
              </w:rPr>
              <w:t xml:space="preserve">J-B1 </w:t>
            </w: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理解動作內容，運用術語引導動作與符號意象連結。</w:t>
            </w:r>
          </w:p>
          <w:p w14:paraId="7E8CB396" w14:textId="3851F85B" w:rsidR="00D7775E" w:rsidRPr="00D7775E" w:rsidRDefault="000A43A6" w:rsidP="00D7775E">
            <w:pPr>
              <w:snapToGrid w:val="0"/>
              <w:jc w:val="both"/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藝才</w:t>
            </w:r>
            <w:r>
              <w:rPr>
                <w:rFonts w:ascii="BiauKai" w:eastAsia="BiauKai" w:cs="BiauKai"/>
                <w:color w:val="000000"/>
                <w:kern w:val="0"/>
                <w:szCs w:val="24"/>
              </w:rPr>
              <w:t xml:space="preserve">J-B3 </w:t>
            </w: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經典作品賞析，感受民族舞蹈身段之美，並融入個人動作呈現之表達方式。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7A10BE4" w14:textId="77777777" w:rsidR="00D7775E" w:rsidRDefault="00D7775E" w:rsidP="00D7775E">
            <w:pPr>
              <w:autoSpaceDE w:val="0"/>
              <w:autoSpaceDN w:val="0"/>
              <w:adjustRightInd w:val="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</w:p>
          <w:p w14:paraId="01B7645D" w14:textId="3894983C" w:rsidR="000A43A6" w:rsidRPr="00D7775E" w:rsidRDefault="000A43A6" w:rsidP="00D7775E">
            <w:pPr>
              <w:autoSpaceDE w:val="0"/>
              <w:autoSpaceDN w:val="0"/>
              <w:adjustRightInd w:val="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1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.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能具備控制核心肌群以完成穩定性動作的能力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</w:p>
          <w:p w14:paraId="7391FD1A" w14:textId="7124F437" w:rsidR="000A43A6" w:rsidRPr="00D7775E" w:rsidRDefault="000A43A6" w:rsidP="00D7775E">
            <w:pPr>
              <w:autoSpaceDE w:val="0"/>
              <w:autoSpaceDN w:val="0"/>
              <w:adjustRightInd w:val="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2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.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能運用核心肌群的控制與軸體直立延展方式，有效完成站立的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小品組合動作，並熟練、流暢的掌握舞蹈技法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</w:p>
          <w:p w14:paraId="3A6D8208" w14:textId="5A7EEA9E" w:rsidR="000A43A6" w:rsidRPr="00D7775E" w:rsidRDefault="000A43A6" w:rsidP="00D7775E">
            <w:pPr>
              <w:autoSpaceDE w:val="0"/>
              <w:autoSpaceDN w:val="0"/>
              <w:adjustRightInd w:val="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3.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能熟</w:t>
            </w:r>
            <w:r w:rsidR="00BF7D07"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練頭旗、涼傘、鑼、鼓道具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動作要領，完成組合</w:t>
            </w:r>
            <w:r w:rsidR="00BF7D07"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動作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。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</w:p>
          <w:p w14:paraId="16222FE5" w14:textId="14568A8B" w:rsidR="000A43A6" w:rsidRPr="00D7775E" w:rsidRDefault="000A43A6" w:rsidP="00D7775E">
            <w:pPr>
              <w:autoSpaceDE w:val="0"/>
              <w:autoSpaceDN w:val="0"/>
              <w:adjustRightInd w:val="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5.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</w:t>
            </w:r>
            <w:r w:rsidR="00BF7D07"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透過道具熟練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立圓與平圓動作要領</w:t>
            </w:r>
            <w:r w:rsidR="00BF7D07"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並配合舞步表現</w:t>
            </w:r>
            <w:r w:rsidR="00D255C7"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完整動作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。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</w:p>
          <w:p w14:paraId="38942681" w14:textId="458568D9" w:rsidR="000A43A6" w:rsidRPr="00D7775E" w:rsidRDefault="000A43A6" w:rsidP="00D7775E">
            <w:pPr>
              <w:autoSpaceDE w:val="0"/>
              <w:autoSpaceDN w:val="0"/>
              <w:adjustRightInd w:val="0"/>
              <w:spacing w:after="4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6.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能熟練並做出</w:t>
            </w:r>
            <w:r w:rsidR="00D255C7"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跳鼓陣傳統步法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等組合性動作。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</w:p>
          <w:p w14:paraId="2695F330" w14:textId="2A1435BC" w:rsidR="000A43A6" w:rsidRPr="00D7775E" w:rsidRDefault="000A43A6" w:rsidP="00D7775E">
            <w:pPr>
              <w:autoSpaceDE w:val="0"/>
              <w:autoSpaceDN w:val="0"/>
              <w:adjustRightInd w:val="0"/>
              <w:spacing w:after="4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7.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能在動作組合中運用正確的身體運行方式增進動作完成率以提升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協調性、流暢性、核心穩定之完整組合動作。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</w:p>
          <w:p w14:paraId="619F477C" w14:textId="4EFEB6DA" w:rsidR="000A43A6" w:rsidRPr="00D7775E" w:rsidRDefault="000A43A6" w:rsidP="00D7775E">
            <w:pPr>
              <w:autoSpaceDE w:val="0"/>
              <w:autoSpaceDN w:val="0"/>
              <w:adjustRightInd w:val="0"/>
              <w:spacing w:after="4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8.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能做出手、眼、身、步、法的組合性動作。</w:t>
            </w:r>
          </w:p>
          <w:p w14:paraId="36865217" w14:textId="21A77888" w:rsidR="000A43A6" w:rsidRPr="00D7775E" w:rsidRDefault="000A43A6" w:rsidP="00D7775E">
            <w:pPr>
              <w:autoSpaceDE w:val="0"/>
              <w:autoSpaceDN w:val="0"/>
              <w:adjustRightInd w:val="0"/>
              <w:spacing w:after="4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9.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能透過展演作品了解作品之人文背景及其風格、特色。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</w:p>
          <w:p w14:paraId="5A08015D" w14:textId="02E62DC1" w:rsidR="000A43A6" w:rsidRPr="00D7775E" w:rsidRDefault="000A43A6" w:rsidP="00D7775E">
            <w:pPr>
              <w:autoSpaceDE w:val="0"/>
              <w:autoSpaceDN w:val="0"/>
              <w:adjustRightInd w:val="0"/>
              <w:spacing w:after="40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10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. 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能了解台灣陣頭文化內涵及其分類。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</w:p>
          <w:p w14:paraId="0F30EFC6" w14:textId="77777777" w:rsidR="002772A2" w:rsidRDefault="000A43A6" w:rsidP="00D7775E">
            <w:pPr>
              <w:snapToGrid w:val="0"/>
              <w:jc w:val="both"/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</w:pP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>11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. 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能透過鑑賞，了解陣頭藝術與舞蹈、類別、特性、歷史與舞</w:t>
            </w:r>
            <w:r w:rsidRPr="00D7775E">
              <w:rPr>
                <w:rFonts w:ascii="Heiti SC Medium" w:eastAsia="Heiti SC Medium" w:hAnsi="Heiti SC Medium" w:cs="Kaiti TC"/>
                <w:color w:val="000000"/>
                <w:kern w:val="0"/>
                <w:szCs w:val="24"/>
              </w:rPr>
              <w:t xml:space="preserve"> </w:t>
            </w:r>
            <w:r w:rsidRPr="00D7775E">
              <w:rPr>
                <w:rFonts w:ascii="Heiti SC Medium" w:eastAsia="Heiti SC Medium" w:hAnsi="Heiti SC Medium" w:cs="Kaiti TC" w:hint="eastAsia"/>
                <w:color w:val="000000"/>
                <w:kern w:val="0"/>
                <w:szCs w:val="24"/>
              </w:rPr>
              <w:t>蹈，並從服裝、道具加以辨識其內涵。</w:t>
            </w:r>
          </w:p>
          <w:p w14:paraId="2889E8F2" w14:textId="18F1CC22" w:rsidR="00D7775E" w:rsidRPr="00D7310D" w:rsidRDefault="00D7775E" w:rsidP="00D7775E">
            <w:pPr>
              <w:snapToGrid w:val="0"/>
              <w:jc w:val="both"/>
              <w:rPr>
                <w:rFonts w:ascii="標楷體" w:eastAsia="標楷體" w:hAnsi="標楷體" w:hint="eastAsia"/>
                <w:b/>
                <w:color w:val="FF0000"/>
              </w:rPr>
            </w:pP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D05971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081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045F4B40" w14:textId="77777777" w:rsidTr="00D0597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250EF6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46AF6D3C" w:rsidR="00250EF6" w:rsidRPr="008A3824" w:rsidRDefault="00D0597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介紹台灣陣頭</w:t>
            </w:r>
            <w:r>
              <w:rPr>
                <w:rFonts w:ascii="BiauKai" w:eastAsia="BiauKai" w:cs="BiauKai" w:hint="eastAsia"/>
                <w:color w:val="000000"/>
                <w:kern w:val="0"/>
                <w:szCs w:val="24"/>
              </w:rPr>
              <w:t>—</w:t>
            </w:r>
            <w:r>
              <w:rPr>
                <w:rFonts w:ascii="微軟正黑體" w:eastAsia="微軟正黑體" w:hAnsi="微軟正黑體" w:cs="微軟正黑體" w:hint="eastAsia"/>
                <w:color w:val="000000"/>
                <w:kern w:val="0"/>
                <w:szCs w:val="24"/>
              </w:rPr>
              <w:t>跳鼓陣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57D0B031" w14:textId="77777777" w:rsidR="00AF5DBB" w:rsidRPr="001F40BD" w:rsidRDefault="00AF5DBB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-P4-1</w:t>
            </w:r>
          </w:p>
          <w:p w14:paraId="7C042156" w14:textId="77777777" w:rsidR="00AF5DBB" w:rsidRPr="001F40BD" w:rsidRDefault="00AF5DBB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-C2-2</w:t>
            </w:r>
          </w:p>
          <w:p w14:paraId="457FE2C4" w14:textId="77777777" w:rsidR="00AF5DBB" w:rsidRPr="001F40BD" w:rsidRDefault="00AF5DBB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-S1-1</w:t>
            </w:r>
          </w:p>
          <w:p w14:paraId="1CB9E6CF" w14:textId="562B633A" w:rsidR="00250EF6" w:rsidRPr="008A3824" w:rsidRDefault="00AF5DBB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37CF12F4" w:rsidR="00250EF6" w:rsidRPr="008A3824" w:rsidRDefault="00C116F2" w:rsidP="00C116F2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認識台灣傳統舞蹈的精神與類別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6EB23F61" w:rsidR="00250EF6" w:rsidRPr="008A3824" w:rsidRDefault="00AF5DB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微軟正黑體" w:hint="eastAsia"/>
                <w:color w:val="000000"/>
              </w:rPr>
              <w:t>鑑賞與分享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F5DBB" w:rsidRPr="008A3824" w14:paraId="7F750042" w14:textId="77777777" w:rsidTr="00B62A5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AF5DBB" w:rsidRPr="00F3602D" w:rsidRDefault="00AF5DBB" w:rsidP="00AF5DB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AF5DBB" w:rsidRPr="00F3602D" w:rsidRDefault="00AF5DBB" w:rsidP="00AF5DB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59C499FD" w:rsidR="00AF5DBB" w:rsidRPr="008A3824" w:rsidRDefault="00AF5DBB" w:rsidP="00AF5D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傘的持法</w:t>
            </w:r>
            <w:r>
              <w:rPr>
                <w:rFonts w:ascii="標楷體" w:eastAsia="標楷體" w:hAnsi="標楷體" w:hint="eastAsia"/>
              </w:rPr>
              <w:t>與動作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</w:tcPr>
          <w:p w14:paraId="4FC9DEA6" w14:textId="77777777" w:rsidR="00AF5DBB" w:rsidRPr="001F40BD" w:rsidRDefault="00AF5DBB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0E6F7128" w14:textId="77777777" w:rsidR="00AF5DBB" w:rsidRPr="001F40BD" w:rsidRDefault="00AF5DBB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6454BFC1" w14:textId="77777777" w:rsidR="00AF5DBB" w:rsidRPr="001F40BD" w:rsidRDefault="00AF5DBB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224D401B" w14:textId="77777777" w:rsidR="00AF5DBB" w:rsidRPr="001F40BD" w:rsidRDefault="00AF5DBB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2CDFDBE3" w14:textId="23E26C73" w:rsidR="00AF5DBB" w:rsidRPr="00BF7D07" w:rsidRDefault="00AF5DBB" w:rsidP="00BF7D07">
            <w:pPr>
              <w:pStyle w:val="Web"/>
              <w:spacing w:before="0" w:beforeAutospacing="0" w:after="0" w:afterAutospacing="0" w:line="280" w:lineRule="exact"/>
              <w:jc w:val="both"/>
              <w:rPr>
                <w:rFonts w:hint="eastAsia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3FCB9EBD" w:rsidR="00AF5DBB" w:rsidRPr="008A3824" w:rsidRDefault="00AF5DBB" w:rsidP="00AF5DBB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拋傘、點、刺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03739740" w:rsidR="00AF5DBB" w:rsidRPr="008A3824" w:rsidRDefault="00BF7D07" w:rsidP="00AF5DBB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AF5DBB" w:rsidRPr="008A3824" w:rsidRDefault="00AF5DBB" w:rsidP="00AF5DB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5C384FF2" w14:textId="77777777" w:rsidTr="00083A5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327C4F36" w:rsidR="00BF7D07" w:rsidRPr="008A3824" w:rsidRDefault="00BF7D07" w:rsidP="00BF7D0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涼傘與步法（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2125E738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46241B3F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723619CC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2088A61D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43B63E39" w14:textId="35597BE1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4C4B1998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菱形步、馬步、弓步、方格步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17792493" w14:textId="20A285D3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5D08F2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04D055ED" w14:textId="77777777" w:rsidTr="00083A5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4CAF1105" w:rsidR="00BF7D07" w:rsidRPr="008A3824" w:rsidRDefault="00BF7D07" w:rsidP="00BF7D0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涼傘與步法（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1C0066D0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5674F14F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5F5A42EE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24C69F7F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5A5F81D7" w14:textId="72E1885A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5517AB8A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開合步、上山步、點勾轉體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149CBD8" w14:textId="717B7B20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5D08F2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16870FB2" w14:textId="77777777" w:rsidTr="00083A5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10F77346" w:rsidR="00BF7D07" w:rsidRPr="008A3824" w:rsidRDefault="00BF7D07" w:rsidP="00BF7D0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涼傘與步法（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0B3FA4EF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23A71707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5C2B35D7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00BD7232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65F51B69" w14:textId="7ED289A7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37A736AC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組合動作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B9517E3" w14:textId="191B5BB8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5D08F2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0E0D6C22" w14:textId="77777777" w:rsidTr="00083A5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4CDE0BE2" w:rsidR="00BF7D07" w:rsidRPr="008A3824" w:rsidRDefault="00BF7D07" w:rsidP="00BF7D0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頭旗持法與動作（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57719A6B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3C3DE14C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2CF90610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686A6B67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5024F08E" w14:textId="55A73538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3E4D953A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頭旗握式與擺動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盤、點、勾、刺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8CA9D95" w14:textId="439F3BBE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5D08F2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62AD50B9" w14:textId="77777777" w:rsidTr="00083A5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4162991A" w:rsidR="00BF7D07" w:rsidRPr="008A3824" w:rsidRDefault="00BF7D07" w:rsidP="00BF7D0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頭旗持法與動作（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579F71C7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1ADCC7F8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22F0456B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lastRenderedPageBreak/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76A3E8EB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75AD9ECF" w14:textId="092B716A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28CFE58B" w:rsidR="00BF7D07" w:rsidRPr="0030465A" w:rsidRDefault="00BF7D07" w:rsidP="00BF7D07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>
              <w:rPr>
                <w:rFonts w:ascii="標楷體" w:eastAsia="標楷體" w:hAnsi="標楷體"/>
              </w:rPr>
              <w:t>.</w:t>
            </w:r>
            <w:r w:rsidRPr="0030465A">
              <w:rPr>
                <w:rFonts w:ascii="標楷體" w:eastAsia="標楷體" w:hAnsi="標楷體" w:hint="eastAsia"/>
              </w:rPr>
              <w:t>頭旗握式與擺</w:t>
            </w:r>
            <w:r>
              <w:rPr>
                <w:rFonts w:ascii="標楷體" w:eastAsia="標楷體" w:hAnsi="標楷體" w:hint="eastAsia"/>
              </w:rPr>
              <w:t>動</w:t>
            </w:r>
            <w:r>
              <w:rPr>
                <w:rFonts w:ascii="標楷體" w:eastAsia="標楷體" w:hAnsi="標楷體"/>
              </w:rPr>
              <w:br/>
              <w:t>2.</w:t>
            </w:r>
            <w:r w:rsidRPr="0030465A">
              <w:rPr>
                <w:rFonts w:ascii="標楷體" w:eastAsia="標楷體" w:hAnsi="標楷體" w:hint="eastAsia"/>
              </w:rPr>
              <w:t>盤、點、勾、刺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73993096" w14:textId="45DA3980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5D08F2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31CD7C9A" w14:textId="77777777" w:rsidTr="00083A5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033C0601" w:rsidR="00BF7D07" w:rsidRPr="008A3824" w:rsidRDefault="00BF7D07" w:rsidP="00BF7D0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頭旗持法與動作（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49E1D0B3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77102EED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42E53A60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6EFD4D83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392D0F3C" w14:textId="0693963A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09992E69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組合動作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7E292DE" w14:textId="34B14940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5D08F2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47B99397" w14:textId="77777777" w:rsidTr="009F315B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0B034475" w:rsidR="00BF7D07" w:rsidRPr="008A3824" w:rsidRDefault="00BF7D07" w:rsidP="00BF7D0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鑼與鼓的操作方法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26B479AC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74AC90FA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1B42AA54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678D1462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31D43FBD" w14:textId="2A53D276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7C20F5" w14:textId="77777777" w:rsidR="00BF7D07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揹鼓技法</w:t>
            </w:r>
            <w:r>
              <w:rPr>
                <w:rFonts w:ascii="標楷體" w:eastAsia="標楷體" w:hAnsi="標楷體"/>
              </w:rPr>
              <w:br/>
              <w:t>2.</w:t>
            </w:r>
            <w:r>
              <w:rPr>
                <w:rFonts w:ascii="標楷體" w:eastAsia="標楷體" w:hAnsi="標楷體" w:hint="eastAsia"/>
              </w:rPr>
              <w:t>技法與步法</w:t>
            </w:r>
          </w:p>
          <w:p w14:paraId="369E01A3" w14:textId="39358EB8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>角色分配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6B1AB18" w14:textId="066146FC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61105B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42831758" w14:textId="77777777" w:rsidTr="009F315B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350FE7AF" w:rsidR="00BF7D07" w:rsidRPr="008A3824" w:rsidRDefault="00BF7D07" w:rsidP="00BF7D0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陣式與動線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4909FE45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1F6C8465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211FDCAD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5E61A559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60002C00" w14:textId="631132A1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224D7E46" w:rsidR="00BF7D07" w:rsidRPr="008A3824" w:rsidRDefault="00BF7D07" w:rsidP="00BF7D0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整合動作一、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30B710B6" w14:textId="729857BD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61105B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5BBA84E2" w14:textId="77777777" w:rsidTr="009F315B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3288AC0B" w:rsidR="00BF7D07" w:rsidRPr="008A3824" w:rsidRDefault="00BF7D07" w:rsidP="00BF7D0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陣式與動線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3DAF74F2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0F2640B5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498D1C98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458EDFF1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496F1731" w14:textId="1531E989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7C426DAC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整合動作</w:t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、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3DBB96F" w14:textId="735FA99F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61105B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17FB681E" w14:textId="77777777" w:rsidTr="009F315B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1BF1E1D5" w:rsidR="00BF7D07" w:rsidRPr="008A3824" w:rsidRDefault="00BF7D07" w:rsidP="00BF7D0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陣式與動線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38A6E7FE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761EC1EE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1502AC51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229965C9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3408C732" w14:textId="71E298FF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62E40975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整合動作</w:t>
            </w:r>
            <w:r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 w:hint="eastAsia"/>
              </w:rPr>
              <w:t>、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680E154" w14:textId="3766FFDC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61105B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0F41D376" w14:textId="77777777" w:rsidTr="00A829A0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4BB03202" w:rsidR="00BF7D07" w:rsidRPr="008A3824" w:rsidRDefault="00BF7D07" w:rsidP="00BF7D0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陣式與動線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33744549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0E92CF26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31219F2D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71E447ED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40958DB0" w14:textId="5DA85358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7C8D6C84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整合動作</w:t>
            </w:r>
            <w:r>
              <w:rPr>
                <w:rFonts w:ascii="標楷體" w:eastAsia="標楷體" w:hAnsi="標楷體" w:hint="eastAsia"/>
              </w:rPr>
              <w:t>四</w:t>
            </w:r>
            <w:r>
              <w:rPr>
                <w:rFonts w:ascii="標楷體" w:eastAsia="標楷體" w:hAnsi="標楷體" w:hint="eastAsia"/>
              </w:rPr>
              <w:t>、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19D88B53" w14:textId="0070DD84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84383B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52CE2CA1" w14:textId="77777777" w:rsidTr="00A829A0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4C19485E" w:rsidR="00BF7D07" w:rsidRPr="008A3824" w:rsidRDefault="00BF7D07" w:rsidP="00BF7D0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陣式與動線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0FD6DF4D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414144F2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7FFEC5B0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6BF2DF9B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1A730522" w14:textId="5F792216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531FE490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整合動作</w:t>
            </w: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 w:hint="eastAsia"/>
              </w:rPr>
              <w:t>、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25D194F" w14:textId="19F91184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 w:rsidRPr="0084383B">
              <w:rPr>
                <w:rFonts w:ascii="標楷體" w:eastAsia="標楷體" w:hAnsi="標楷體" w:hint="eastAsia"/>
              </w:rPr>
              <w:t>操作、表現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7D07" w:rsidRPr="008A3824" w14:paraId="03B37622" w14:textId="77777777" w:rsidTr="00D0597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BF7D07" w:rsidRPr="00F3602D" w:rsidRDefault="00BF7D07" w:rsidP="00BF7D0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88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BF7D07" w:rsidRPr="008A3824" w:rsidRDefault="00BF7D07" w:rsidP="00BF7D0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  <w:vAlign w:val="center"/>
          </w:tcPr>
          <w:p w14:paraId="6479E471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-P4-1</w:t>
            </w:r>
          </w:p>
          <w:p w14:paraId="333DA31C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-C2-2</w:t>
            </w:r>
          </w:p>
          <w:p w14:paraId="5EA73DC4" w14:textId="77777777" w:rsidR="00BF7D07" w:rsidRPr="001F40BD" w:rsidRDefault="00BF7D07" w:rsidP="00BF7D0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-S1-1</w:t>
            </w:r>
          </w:p>
          <w:p w14:paraId="1E6FB73A" w14:textId="50F964D0" w:rsidR="00BF7D07" w:rsidRPr="008A3824" w:rsidRDefault="00BF7D07" w:rsidP="00BF7D0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4E64C98F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綜合呈現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4A57F189" w:rsidR="00BF7D07" w:rsidRPr="008A3824" w:rsidRDefault="00BF7D07" w:rsidP="00BF7D0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總結性評量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BF7D07" w:rsidRPr="008A3824" w:rsidRDefault="00BF7D07" w:rsidP="00BF7D07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A457B" w14:textId="77777777" w:rsidR="007119B9" w:rsidRDefault="007119B9" w:rsidP="008A1862">
      <w:r>
        <w:separator/>
      </w:r>
    </w:p>
  </w:endnote>
  <w:endnote w:type="continuationSeparator" w:id="0">
    <w:p w14:paraId="52562583" w14:textId="77777777" w:rsidR="007119B9" w:rsidRDefault="007119B9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panose1 w:val="020B0604020202020204"/>
    <w:charset w:val="00"/>
    <w:family w:val="roman"/>
    <w:pitch w:val="default"/>
  </w:font>
  <w:font w:name="標楷體">
    <w:altName w:val="微軟正黑體"/>
    <w:panose1 w:val="02010601000101010101"/>
    <w:charset w:val="88"/>
    <w:family w:val="auto"/>
    <w:pitch w:val="variable"/>
    <w:sig w:usb0="00000003" w:usb1="08080000" w:usb2="00000010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BiauKai">
    <w:altName w:val="Apple LiSung Light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Heiti SC Medium">
    <w:panose1 w:val="00000000000000000000"/>
    <w:charset w:val="80"/>
    <w:family w:val="auto"/>
    <w:pitch w:val="variable"/>
    <w:sig w:usb0="8000002F" w:usb1="0807004A" w:usb2="00000010" w:usb3="00000000" w:csb0="003E0001" w:csb1="00000000"/>
  </w:font>
  <w:font w:name="Kaiti TC">
    <w:panose1 w:val="02010600040101010101"/>
    <w:charset w:val="88"/>
    <w:family w:val="auto"/>
    <w:pitch w:val="variable"/>
    <w:sig w:usb0="80000287" w:usb1="280F3C52" w:usb2="00000016" w:usb3="00000000" w:csb0="001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001C0" w14:textId="77777777" w:rsidR="007119B9" w:rsidRDefault="007119B9" w:rsidP="008A1862">
      <w:r>
        <w:separator/>
      </w:r>
    </w:p>
  </w:footnote>
  <w:footnote w:type="continuationSeparator" w:id="0">
    <w:p w14:paraId="16A1A749" w14:textId="77777777" w:rsidR="007119B9" w:rsidRDefault="007119B9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96312"/>
    <w:multiLevelType w:val="hybridMultilevel"/>
    <w:tmpl w:val="3FF048DA"/>
    <w:lvl w:ilvl="0" w:tplc="C5A49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99F4C3A"/>
    <w:multiLevelType w:val="hybridMultilevel"/>
    <w:tmpl w:val="560A2822"/>
    <w:lvl w:ilvl="0" w:tplc="83363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A43A6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465A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19B9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AF5DBB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416"/>
    <w:rsid w:val="00BA0EF7"/>
    <w:rsid w:val="00BA7A23"/>
    <w:rsid w:val="00BE1458"/>
    <w:rsid w:val="00BF7D07"/>
    <w:rsid w:val="00C116F2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05971"/>
    <w:rsid w:val="00D14BEE"/>
    <w:rsid w:val="00D255C7"/>
    <w:rsid w:val="00D40AF1"/>
    <w:rsid w:val="00D41DF0"/>
    <w:rsid w:val="00D61F21"/>
    <w:rsid w:val="00D65AC8"/>
    <w:rsid w:val="00D7310D"/>
    <w:rsid w:val="00D7775E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0A43A6"/>
    <w:pPr>
      <w:ind w:leftChars="200" w:left="480"/>
    </w:pPr>
  </w:style>
  <w:style w:type="paragraph" w:styleId="Web">
    <w:name w:val="Normal (Web)"/>
    <w:basedOn w:val="a"/>
    <w:uiPriority w:val="99"/>
    <w:unhideWhenUsed/>
    <w:rsid w:val="00AF5DB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2CB8B-0B76-5348-A5DD-55EBF45B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870</Words>
  <Characters>1062</Characters>
  <Application>Microsoft Office Word</Application>
  <DocSecurity>0</DocSecurity>
  <Lines>48</Lines>
  <Paragraphs>25</Paragraphs>
  <ScaleCrop>false</ScaleCrop>
  <Company>HOME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royi888</cp:lastModifiedBy>
  <cp:revision>52</cp:revision>
  <cp:lastPrinted>2019-03-19T03:15:00Z</cp:lastPrinted>
  <dcterms:created xsi:type="dcterms:W3CDTF">2019-04-16T15:26:00Z</dcterms:created>
  <dcterms:modified xsi:type="dcterms:W3CDTF">2020-08-29T17:44:00Z</dcterms:modified>
</cp:coreProperties>
</file>