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標楷體" w:hAnsi="標楷體" w:eastAsia="標楷體"/>
          <w:color w:val="FF0000"/>
          <w:sz w:val="28"/>
          <w:szCs w:val="28"/>
          <w:u w:val="single"/>
        </w:rPr>
      </w:pPr>
      <w:r>
        <w:rPr>
          <w:rFonts w:hint="eastAsia" w:ascii="標楷體" w:hAnsi="標楷體" w:eastAsia="標楷體"/>
          <w:sz w:val="28"/>
          <w:szCs w:val="28"/>
        </w:rPr>
        <w:t>臺南市永仁高中國中部109學年度第二學期彈性學習課程計畫</w:t>
      </w:r>
      <w:r>
        <w:rPr>
          <w:rFonts w:hint="eastAsia" w:ascii="標楷體" w:hAnsi="標楷體" w:eastAsia="標楷體"/>
          <w:color w:val="FF0000"/>
          <w:sz w:val="28"/>
          <w:szCs w:val="28"/>
        </w:rPr>
        <w:t>-</w:t>
      </w:r>
      <w:r>
        <w:rPr>
          <w:rFonts w:hint="eastAsia" w:ascii="標楷體" w:hAnsi="標楷體" w:eastAsia="標楷體"/>
          <w:b/>
          <w:color w:val="FF0000"/>
          <w:sz w:val="28"/>
          <w:szCs w:val="28"/>
        </w:rPr>
        <w:t>社團</w:t>
      </w:r>
      <w:r>
        <w:rPr>
          <w:rFonts w:hint="eastAsia" w:ascii="標楷體" w:hAnsi="標楷體" w:eastAsia="標楷體"/>
          <w:b/>
          <w:color w:val="FF0000"/>
          <w:sz w:val="28"/>
          <w:szCs w:val="28"/>
        </w:rPr>
        <w:t>活動</w:t>
      </w:r>
      <w:r>
        <w:rPr>
          <w:rFonts w:hint="eastAsia" w:ascii="標楷體" w:hAnsi="標楷體" w:eastAsia="標楷體"/>
          <w:b/>
          <w:color w:val="FF0000"/>
          <w:sz w:val="28"/>
          <w:szCs w:val="28"/>
        </w:rPr>
        <w:t>與技藝課程</w:t>
      </w:r>
    </w:p>
    <w:tbl>
      <w:tblPr>
        <w:tblStyle w:val="8"/>
        <w:tblW w:w="151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>
        <w:trPr>
          <w:trHeight w:val="530" w:hRule="atLeast"/>
          <w:jc w:val="center"/>
        </w:trPr>
        <w:tc>
          <w:tcPr>
            <w:tcW w:w="2947" w:type="dxa"/>
            <w:gridSpan w:val="3"/>
            <w:tcBorders>
              <w:top w:val="thinThickSmallGap" w:color="auto" w:sz="24" w:space="0"/>
              <w:left w:val="thinThickSmallGap" w:color="auto" w:sz="2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社團活動或技藝課程名稱</w:t>
            </w:r>
          </w:p>
        </w:tc>
        <w:tc>
          <w:tcPr>
            <w:tcW w:w="2977" w:type="dxa"/>
            <w:gridSpan w:val="2"/>
            <w:tcBorders>
              <w:top w:val="thinThickSmallGap" w:color="auto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籃球社</w:t>
            </w:r>
          </w:p>
        </w:tc>
        <w:tc>
          <w:tcPr>
            <w:tcW w:w="1276" w:type="dxa"/>
            <w:tcBorders>
              <w:top w:val="thinThickSmallGap" w:color="auto" w:sz="2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color="auto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color="auto" w:sz="24" w:space="0"/>
              <w:bottom w:val="single" w:color="auto" w:sz="4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本學期共(  15   )節</w:t>
            </w:r>
          </w:p>
        </w:tc>
        <w:tc>
          <w:tcPr>
            <w:tcW w:w="1417" w:type="dxa"/>
            <w:tcBorders>
              <w:top w:val="thinThickSmall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color="auto" w:sz="2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</w:p>
        </w:tc>
      </w:tr>
      <w:tr>
        <w:trPr>
          <w:trHeight w:val="399" w:hRule="atLeast"/>
          <w:jc w:val="center"/>
        </w:trPr>
        <w:tc>
          <w:tcPr>
            <w:tcW w:w="2947" w:type="dxa"/>
            <w:gridSpan w:val="3"/>
            <w:tcBorders>
              <w:top w:val="single" w:color="auto" w:sz="4" w:space="0"/>
              <w:left w:val="thinThickSmallGap" w:color="auto" w:sz="24" w:space="0"/>
              <w:bottom w:val="single" w:color="auto" w:sz="2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color="auto" w:sz="4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2</w:t>
            </w:r>
            <w:r>
              <w:rPr>
                <w:rFonts w:hint="eastAsia" w:ascii="標楷體" w:hAnsi="標楷體" w:eastAsia="標楷體"/>
                <w:b/>
                <w:color w:val="FF0000"/>
              </w:rPr>
              <w:t>.□社團活動與技藝課程</w:t>
            </w:r>
            <w:r>
              <w:rPr>
                <w:rFonts w:hint="eastAsia" w:ascii="標楷體" w:hAnsi="標楷體" w:eastAsia="標楷體"/>
                <w:color w:val="FF0000"/>
              </w:rPr>
              <w:t>(社團活動)</w:t>
            </w:r>
          </w:p>
        </w:tc>
      </w:tr>
      <w:tr>
        <w:trPr>
          <w:trHeight w:val="778" w:hRule="atLeast"/>
          <w:jc w:val="center"/>
        </w:trPr>
        <w:tc>
          <w:tcPr>
            <w:tcW w:w="2947" w:type="dxa"/>
            <w:gridSpan w:val="3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shd w:val="clear" w:color="auto" w:fill="auto"/>
            <w:vAlign w:val="center"/>
          </w:tcPr>
          <w:p>
            <w:pPr>
              <w:snapToGrid w:val="0"/>
              <w:spacing w:line="260" w:lineRule="exact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C</w:t>
            </w:r>
            <w:r>
              <w:rPr>
                <w:rFonts w:ascii="標楷體" w:hAnsi="標楷體" w:eastAsia="標楷體"/>
                <w:b/>
                <w:color w:val="FF0000"/>
              </w:rPr>
              <w:t>2</w:t>
            </w:r>
            <w:r>
              <w:rPr>
                <w:rFonts w:hint="eastAsia" w:ascii="標楷體" w:hAnsi="標楷體" w:eastAsia="標楷體"/>
                <w:b/>
                <w:color w:val="FF0000"/>
              </w:rPr>
              <w:t>人際關係與團隊合作</w:t>
            </w:r>
          </w:p>
          <w:p>
            <w:pPr>
              <w:snapToGrid w:val="0"/>
              <w:spacing w:line="260" w:lineRule="exact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B</w:t>
            </w:r>
            <w:r>
              <w:rPr>
                <w:rFonts w:ascii="標楷體" w:hAnsi="標楷體" w:eastAsia="標楷體"/>
                <w:b/>
                <w:color w:val="FF0000"/>
              </w:rPr>
              <w:t>2</w:t>
            </w:r>
            <w:r>
              <w:rPr>
                <w:rFonts w:hint="eastAsia" w:ascii="標楷體" w:hAnsi="標楷體" w:eastAsia="標楷體"/>
                <w:b/>
                <w:color w:val="FF0000"/>
              </w:rPr>
              <w:t>符號運用與溝通表達</w:t>
            </w:r>
          </w:p>
        </w:tc>
      </w:tr>
      <w:tr>
        <w:trPr>
          <w:trHeight w:val="789" w:hRule="atLeast"/>
          <w:jc w:val="center"/>
        </w:trPr>
        <w:tc>
          <w:tcPr>
            <w:tcW w:w="2947" w:type="dxa"/>
            <w:gridSpan w:val="3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shd w:val="clear" w:color="auto" w:fill="auto"/>
            <w:vAlign w:val="center"/>
          </w:tcPr>
          <w:p>
            <w:pPr>
              <w:pStyle w:val="14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提升學生運動能力</w:t>
            </w:r>
            <w:r>
              <w:rPr>
                <w:rFonts w:hint="eastAsia" w:ascii="標楷體" w:hAnsi="標楷體" w:eastAsia="標楷體"/>
                <w:b/>
                <w:color w:val="FF0000"/>
              </w:rPr>
              <w:t>及表現</w:t>
            </w:r>
          </w:p>
          <w:p>
            <w:pPr>
              <w:pStyle w:val="14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提升學生溝通表達及判斷能力</w:t>
            </w:r>
          </w:p>
          <w:p>
            <w:pPr>
              <w:pStyle w:val="14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增進團隊學習及團隊合作的表現</w:t>
            </w:r>
          </w:p>
          <w:p>
            <w:pPr>
              <w:pStyle w:val="14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能清楚了解籃球比賽中的相關規則</w:t>
            </w:r>
          </w:p>
        </w:tc>
      </w:tr>
      <w:tr>
        <w:trPr>
          <w:trHeight w:val="400" w:hRule="atLeast"/>
          <w:jc w:val="center"/>
        </w:trPr>
        <w:tc>
          <w:tcPr>
            <w:tcW w:w="15168" w:type="dxa"/>
            <w:gridSpan w:val="14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  <w:right w:val="thickThinSmallGap" w:color="auto" w:sz="2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課程架構脈絡</w:t>
            </w:r>
          </w:p>
        </w:tc>
      </w:tr>
      <w:tr>
        <w:trPr>
          <w:trHeight w:val="710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教學期程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color="auto" w:sz="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color="auto" w:sz="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</w:rPr>
              <w:t>學習目標</w:t>
            </w:r>
          </w:p>
        </w:tc>
        <w:tc>
          <w:tcPr>
            <w:tcW w:w="2693" w:type="dxa"/>
            <w:tcBorders>
              <w:top w:val="single" w:color="auto" w:sz="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備註</w:t>
            </w: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2/22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複習上學期的戰術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能將上學期所學融會運用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3/8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三三鬥牛賽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1.能將戰術融會運用</w:t>
            </w:r>
          </w:p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2.能與隊友溝通及互助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3/15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三三鬥牛賽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1.能將戰術融會運用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2.能與隊友溝通及互助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3/22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三三鬥牛賽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1.能將戰術融會運用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2.能與隊友溝通及互助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3/29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防守三二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1.能做出陣形</w:t>
            </w:r>
          </w:p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2.能防守到位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4/12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防守三二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1.能做出陣形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2.能防守到位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4/19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防守三二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1.能做出陣形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2.能防守到位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4/26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防守二三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1.能做出陣形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2.能防守到位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5/3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防守二三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1.能做出陣形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2.能防守到位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bookmarkStart w:id="0" w:name="_GoBack" w:colFirst="5" w:colLast="3"/>
            <w:r>
              <w:rPr>
                <w:rFonts w:hint="eastAsia" w:ascii="標楷體" w:hAnsi="標楷體" w:eastAsia="標楷體"/>
                <w:b/>
              </w:rPr>
              <w:t>5/10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防守二三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1.能做出陣形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2.能防守到位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bookmarkEnd w:id="0"/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5/17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五五全場攻防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1.能將戰術融會運用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2.能與隊友溝通及互助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5/24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五五全場攻防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1.能將戰術融會運用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2.能與隊友溝通及互助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5/31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五五全場攻防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1.能將戰術融會運用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2.能與隊友溝通及互助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6/7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五五全場攻防</w:t>
            </w: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1.能將戰術融會運用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2.能與隊友溝通及互助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rPr>
          <w:trHeight w:val="709" w:hRule="atLeast"/>
          <w:jc w:val="center"/>
        </w:trPr>
        <w:tc>
          <w:tcPr>
            <w:tcW w:w="167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6/21</w:t>
            </w:r>
          </w:p>
        </w:tc>
        <w:tc>
          <w:tcPr>
            <w:tcW w:w="7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269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2440" w:type="dxa"/>
            <w:gridSpan w:val="3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</w:tbl>
    <w:p>
      <w:pPr>
        <w:snapToGrid w:val="0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◎教學期程請敘明週次起訖，如行列太多或不足，請自行增刪。</w:t>
      </w:r>
    </w:p>
    <w:p>
      <w:pPr>
        <w:snapToGrid w:val="0"/>
        <w:rPr>
          <w:rFonts w:ascii="新細明體" w:hAnsi="新細明體" w:eastAsia="新細明體"/>
        </w:rPr>
      </w:pPr>
      <w:r>
        <w:rPr>
          <w:rFonts w:hint="eastAsia" w:ascii="標楷體" w:hAnsi="標楷體" w:eastAsia="標楷體"/>
        </w:rPr>
        <w:t>◎</w:t>
      </w:r>
      <w:r>
        <w:rPr>
          <w:rFonts w:hint="eastAsia" w:eastAsia="標楷體"/>
        </w:rPr>
        <w:t>備註</w:t>
      </w:r>
      <w:r>
        <w:rPr>
          <w:rFonts w:hint="eastAsia" w:eastAsia="標楷體"/>
          <w:b/>
        </w:rPr>
        <w:t>可</w:t>
      </w:r>
      <w:r>
        <w:rPr>
          <w:rFonts w:hint="eastAsia" w:eastAsia="標楷體"/>
        </w:rPr>
        <w:t>加註說明各社團以年段或班群實施現況、議題融入或教材設計說明</w:t>
      </w:r>
      <w:r>
        <w:rPr>
          <w:rFonts w:hint="eastAsia" w:ascii="標楷體" w:hAnsi="標楷體" w:eastAsia="標楷體"/>
        </w:rPr>
        <w:t>，</w:t>
      </w:r>
      <w:r>
        <w:rPr>
          <w:rFonts w:hint="eastAsia" w:eastAsia="標楷體"/>
        </w:rPr>
        <w:t>無則免填</w:t>
      </w:r>
      <w:r>
        <w:rPr>
          <w:rFonts w:hint="eastAsia" w:ascii="新細明體" w:hAnsi="新細明體" w:eastAsia="新細明體"/>
        </w:rPr>
        <w:t>。</w:t>
      </w:r>
    </w:p>
    <w:p>
      <w:pPr>
        <w:snapToGrid w:val="0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◎</w:t>
      </w:r>
      <w:r>
        <w:rPr>
          <w:rFonts w:hint="eastAsia" w:ascii="標楷體" w:hAnsi="標楷體" w:eastAsia="標楷體"/>
          <w:color w:val="FF0000"/>
        </w:rPr>
        <w:t>各社團</w:t>
      </w:r>
      <w:r>
        <w:rPr>
          <w:rFonts w:hint="eastAsia" w:ascii="標楷體" w:hAnsi="標楷體" w:eastAsia="標楷體"/>
          <w:color w:val="FF0000"/>
        </w:rPr>
        <w:t>務必</w:t>
      </w:r>
      <w:r>
        <w:rPr>
          <w:rFonts w:hint="eastAsia" w:ascii="標楷體" w:hAnsi="標楷體" w:eastAsia="標楷體"/>
          <w:color w:val="FF0000"/>
        </w:rPr>
        <w:t>寫一份，9/30前補齊</w:t>
      </w:r>
      <w:r>
        <w:rPr>
          <w:rFonts w:hint="eastAsia" w:ascii="標楷體" w:hAnsi="標楷體" w:eastAsia="標楷體"/>
        </w:rPr>
        <w:t>。</w:t>
      </w:r>
    </w:p>
    <w:sectPr>
      <w:headerReference r:id="rId3" w:type="default"/>
      <w:pgSz w:w="16838" w:h="11906" w:orient="landscape"/>
      <w:pgMar w:top="1134" w:right="851" w:bottom="1134" w:left="851" w:header="567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新細明體">
    <w:altName w:val="PMingLiU"/>
    <w:panose1 w:val="02020500000000000000"/>
    <w:charset w:val="86"/>
    <w:family w:val="roman"/>
    <w:pitch w:val="default"/>
    <w:sig w:usb0="A00002FF" w:usb1="28CFFCFA" w:usb2="00000016" w:usb3="00000000" w:csb0="00100001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000001FF" w:csb1="00000000"/>
  </w:font>
  <w:font w:name="細明體">
    <w:altName w:val="MingLiU"/>
    <w:panose1 w:val="02020509000000000000"/>
    <w:charset w:val="00"/>
    <w:family w:val="moder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標楷體">
    <w:panose1 w:val="02010601000101010101"/>
    <w:charset w:val="88"/>
    <w:family w:val="auto"/>
    <w:pitch w:val="default"/>
    <w:sig w:usb0="00000000" w:usb1="00000000" w:usb2="00000010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C6</w:t>
    </w:r>
    <w:r>
      <w:t>-1</w:t>
    </w:r>
    <w:r>
      <w:rPr>
        <w:rFonts w:hint="eastAsia" w:asciiTheme="minorEastAsia" w:hAnsiTheme="minorEastAsia"/>
      </w:rPr>
      <w:t>彈性學習課程計畫(新課綱版-社團與技藝類)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3B10"/>
    <w:multiLevelType w:val="multilevel"/>
    <w:tmpl w:val="19853B1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qFormat="1" w:unhideWhenUsed="0" w:uiPriority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Note Heading"/>
    <w:basedOn w:val="1"/>
    <w:next w:val="1"/>
    <w:link w:val="12"/>
    <w:semiHidden/>
    <w:qFormat/>
    <w:uiPriority w:val="0"/>
    <w:pPr>
      <w:jc w:val="center"/>
    </w:pPr>
    <w:rPr>
      <w:rFonts w:ascii="Times New Roman" w:hAnsi="Times New Roman" w:eastAsia="新細明體" w:cs="Times New Roman"/>
      <w:szCs w:val="24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5">
    <w:name w:val="Balloon Text"/>
    <w:basedOn w:val="1"/>
    <w:link w:val="11"/>
    <w:unhideWhenUsed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頁首 字元"/>
    <w:basedOn w:val="6"/>
    <w:link w:val="2"/>
    <w:uiPriority w:val="99"/>
    <w:rPr>
      <w:sz w:val="20"/>
      <w:szCs w:val="20"/>
    </w:rPr>
  </w:style>
  <w:style w:type="character" w:customStyle="1" w:styleId="10">
    <w:name w:val="頁尾 字元"/>
    <w:basedOn w:val="6"/>
    <w:link w:val="4"/>
    <w:qFormat/>
    <w:uiPriority w:val="99"/>
    <w:rPr>
      <w:sz w:val="20"/>
      <w:szCs w:val="20"/>
    </w:rPr>
  </w:style>
  <w:style w:type="character" w:customStyle="1" w:styleId="11">
    <w:name w:val="註解方塊文字 字元"/>
    <w:basedOn w:val="6"/>
    <w:link w:val="5"/>
    <w:semiHidden/>
    <w:uiPriority w:val="99"/>
    <w:rPr>
      <w:rFonts w:asciiTheme="majorHAnsi" w:hAnsiTheme="majorHAnsi" w:eastAsiaTheme="majorEastAsia" w:cstheme="majorBidi"/>
      <w:sz w:val="18"/>
      <w:szCs w:val="18"/>
    </w:rPr>
  </w:style>
  <w:style w:type="character" w:customStyle="1" w:styleId="12">
    <w:name w:val="註釋標題 字元"/>
    <w:basedOn w:val="6"/>
    <w:link w:val="3"/>
    <w:semiHidden/>
    <w:qFormat/>
    <w:uiPriority w:val="0"/>
    <w:rPr>
      <w:rFonts w:ascii="Times New Roman" w:hAnsi="Times New Roman" w:eastAsia="新細明體" w:cs="Times New Roman"/>
      <w:szCs w:val="24"/>
    </w:rPr>
  </w:style>
  <w:style w:type="character" w:customStyle="1" w:styleId="13">
    <w:name w:val="fontstyle01"/>
    <w:qFormat/>
    <w:uiPriority w:val="0"/>
    <w:rPr>
      <w:rFonts w:hint="default" w:ascii="TimesNewRomanPS-BoldMT" w:hAnsi="TimesNewRomanPS-BoldMT"/>
      <w:b/>
      <w:bCs/>
      <w:color w:val="000000"/>
      <w:sz w:val="24"/>
      <w:szCs w:val="24"/>
    </w:rPr>
  </w:style>
  <w:style w:type="paragraph" w:customStyle="1" w:styleId="14">
    <w:name w:val="List Paragraph"/>
    <w:basedOn w:val="1"/>
    <w:qFormat/>
    <w:uiPriority w:val="34"/>
    <w:pPr>
      <w:ind w:left="48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142</Words>
  <Characters>810</Characters>
  <Lines>6</Lines>
  <Paragraphs>1</Paragraphs>
  <TotalTime>0</TotalTime>
  <ScaleCrop>false</ScaleCrop>
  <LinksUpToDate>false</LinksUpToDate>
  <CharactersWithSpaces>951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2019-04-16T23:26:00Z</dcterms:created>
  <dc:creator>Acer</dc:creator>
  <cp:lastModifiedBy>RuRu 的 iPhone</cp:lastModifiedBy>
  <cp:lastPrinted>2019-03-19T11:15:00Z</cp:lastPrinted>
  <dcterms:modified xsi:type="dcterms:W3CDTF">2020-08-27T13:28:42Z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2052-10.14.0</vt:lpwstr>
  </property>
</Properties>
</file>