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3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Gungsuh" w:cs="Gungsuh" w:eastAsia="Gungsuh" w:hAnsi="Gungsuh"/>
          <w:color w:val="000000"/>
          <w:sz w:val="32"/>
          <w:szCs w:val="32"/>
          <w:rtl w:val="0"/>
        </w:rPr>
        <w:t xml:space="preserve">臺南區免試入學比序項目積分對照表</w:t>
      </w:r>
    </w:p>
    <w:p w:rsidR="00000000" w:rsidDel="00000000" w:rsidP="00000000" w:rsidRDefault="00000000" w:rsidRPr="00000000" w14:paraId="00000002">
      <w:pPr>
        <w:pStyle w:val="Heading2"/>
        <w:spacing w:after="0" w:before="0" w:line="3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Gungsuh" w:cs="Gungsuh" w:eastAsia="Gungsuh" w:hAnsi="Gungsuh"/>
          <w:sz w:val="32"/>
          <w:szCs w:val="32"/>
          <w:rtl w:val="0"/>
        </w:rPr>
        <w:t xml:space="preserve">(110學年度入學高級中等學校學生適用)</w:t>
      </w:r>
    </w:p>
    <w:tbl>
      <w:tblPr>
        <w:tblStyle w:val="Table1"/>
        <w:tblW w:w="1077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"/>
        <w:gridCol w:w="1362"/>
        <w:gridCol w:w="955"/>
        <w:gridCol w:w="562"/>
        <w:gridCol w:w="393"/>
        <w:gridCol w:w="955"/>
        <w:gridCol w:w="206"/>
        <w:gridCol w:w="749"/>
        <w:gridCol w:w="961"/>
        <w:gridCol w:w="802"/>
        <w:gridCol w:w="3402"/>
        <w:tblGridChange w:id="0">
          <w:tblGrid>
            <w:gridCol w:w="426"/>
            <w:gridCol w:w="1362"/>
            <w:gridCol w:w="955"/>
            <w:gridCol w:w="562"/>
            <w:gridCol w:w="393"/>
            <w:gridCol w:w="955"/>
            <w:gridCol w:w="206"/>
            <w:gridCol w:w="749"/>
            <w:gridCol w:w="961"/>
            <w:gridCol w:w="802"/>
            <w:gridCol w:w="3402"/>
          </w:tblGrid>
        </w:tblGridChange>
      </w:tblGrid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比序項目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05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積分換算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8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最高</w:t>
            </w:r>
          </w:p>
          <w:p w:rsidR="00000000" w:rsidDel="00000000" w:rsidP="00000000" w:rsidRDefault="00000000" w:rsidRPr="00000000" w14:paraId="0000000D">
            <w:pPr>
              <w:spacing w:line="28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分數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備註</w:t>
            </w:r>
          </w:p>
        </w:tc>
      </w:tr>
      <w:tr>
        <w:trPr>
          <w:trHeight w:val="2849" w:hRule="atLeast"/>
        </w:trPr>
        <w:tc>
          <w:tcPr/>
          <w:p w:rsidR="00000000" w:rsidDel="00000000" w:rsidP="00000000" w:rsidRDefault="00000000" w:rsidRPr="00000000" w14:paraId="0000000F">
            <w:pPr>
              <w:spacing w:line="28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1.志願序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8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志願序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8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第1志願學校10分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spacing w:line="28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第2志願學校9分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8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第3志願學校8分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line="28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第4志願學校7分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8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第5志願學校6分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10分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6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學生參考國中學生生涯輔導紀錄手冊之生涯發展規劃書選填志願。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69" w:right="0" w:hanging="16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1.每一志願序至多可選填3校為一群組，其志願序積分相同。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69" w:right="0" w:hanging="16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2.同一志願序如有多科別，選填時視為同一志願序，其志願序積分相同。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" w:lineRule="auto"/>
              <w:ind w:left="169" w:right="0" w:hanging="16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3.同一所學校第2次選填，視為不同志願序。</w:t>
            </w:r>
          </w:p>
          <w:p w:rsidR="00000000" w:rsidDel="00000000" w:rsidP="00000000" w:rsidRDefault="00000000" w:rsidRPr="00000000" w14:paraId="0000001D">
            <w:pPr>
              <w:spacing w:line="260" w:lineRule="auto"/>
              <w:ind w:left="169" w:hanging="169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4.第6志願序(含)後志願選填以單科為單位，以5分計。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01E">
            <w:pPr>
              <w:spacing w:line="28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2.多元學習表現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F">
            <w:pPr>
              <w:spacing w:line="2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競賽成績</w:t>
            </w:r>
          </w:p>
          <w:p w:rsidR="00000000" w:rsidDel="00000000" w:rsidP="00000000" w:rsidRDefault="00000000" w:rsidRPr="00000000" w14:paraId="00000020">
            <w:pPr>
              <w:spacing w:line="2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(滿分10分)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國際第一名10分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國際第二名9分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國際第三名8分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國際第四至八名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7分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9">
            <w:pPr>
              <w:spacing w:line="28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最高採計50分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pos="349"/>
              </w:tabs>
              <w:spacing w:line="260" w:lineRule="auto"/>
              <w:ind w:left="220" w:hanging="22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1.限國中階段(七上至九上五學期)獲得之成績始採計。</w:t>
            </w:r>
          </w:p>
          <w:p w:rsidR="00000000" w:rsidDel="00000000" w:rsidP="00000000" w:rsidRDefault="00000000" w:rsidRPr="00000000" w14:paraId="0000002B">
            <w:pPr>
              <w:tabs>
                <w:tab w:val="left" w:pos="349"/>
              </w:tabs>
              <w:spacing w:line="260" w:lineRule="auto"/>
              <w:ind w:left="220" w:hanging="22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2.競賽項目：科學展覽、各學科能力競賽、語文類競賽、藝能類競賽、運動類競賽。</w:t>
            </w:r>
          </w:p>
          <w:p w:rsidR="00000000" w:rsidDel="00000000" w:rsidP="00000000" w:rsidRDefault="00000000" w:rsidRPr="00000000" w14:paraId="0000002C">
            <w:pPr>
              <w:tabs>
                <w:tab w:val="left" w:pos="349"/>
              </w:tabs>
              <w:spacing w:line="260" w:lineRule="auto"/>
              <w:ind w:left="220" w:hanging="22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3.同一性質或同一項目之競賽，僅擇優計分一次。</w:t>
            </w:r>
          </w:p>
          <w:p w:rsidR="00000000" w:rsidDel="00000000" w:rsidP="00000000" w:rsidRDefault="00000000" w:rsidRPr="00000000" w14:paraId="0000002D">
            <w:pPr>
              <w:spacing w:line="260" w:lineRule="auto"/>
              <w:jc w:val="both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4.本項最高10分。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全國第一名7分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全國第二名6分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全國第三名5分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全國第四至八名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4分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縣市第一名4分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縣市第二名3分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縣市第三名2分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縣市第四至八名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1分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55" w:hRule="atLeast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獎勵紀錄</w:t>
            </w:r>
          </w:p>
          <w:p w:rsidR="00000000" w:rsidDel="00000000" w:rsidP="00000000" w:rsidRDefault="00000000" w:rsidRPr="00000000" w14:paraId="00000048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(滿分15分)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4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大功每次4.5分，小功1.5分，嘉獎0.5分。大過每次扣4.5分，小過扣1.5分，警告扣0.5分。功過相抵無懲處有基本3分，功過相抵有懲處為0分(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⇨24次嘉獎可拿滿分)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1">
            <w:pPr>
              <w:spacing w:line="280" w:lineRule="auto"/>
              <w:ind w:left="169" w:hanging="169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1.由國中依學生表現計算之。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69" w:right="0" w:hanging="16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2.獎勵紀錄、服務學習、社團參與各單項最高採計15分。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69" w:right="0" w:hanging="16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3.體適能最高採計10分。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80" w:lineRule="auto"/>
              <w:ind w:left="169" w:right="0" w:hanging="169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4.語言認證最高採計5分。</w:t>
            </w:r>
          </w:p>
        </w:tc>
      </w:tr>
      <w:tr>
        <w:trPr>
          <w:trHeight w:val="548" w:hRule="atLeast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服務學習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(滿分15分)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57">
            <w:pPr>
              <w:spacing w:line="2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每小時0.3分(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⇨50小時</w:t>
            </w:r>
            <w:r w:rsidDel="00000000" w:rsidR="00000000" w:rsidRPr="00000000">
              <w:rPr>
                <w:rFonts w:ascii="Gungsuh" w:cs="Gungsuh" w:eastAsia="Gungsuh" w:hAnsi="Gungsuh"/>
                <w:sz w:val="18"/>
                <w:szCs w:val="18"/>
                <w:rtl w:val="0"/>
              </w:rPr>
              <w:t xml:space="preserve">可拿滿分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2" w:hRule="atLeast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line="2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社團參與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(滿分15分)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line="26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每學期滿16小時(節)以上採計3分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07" w:hRule="atLeast"/>
        </w:trP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2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體適能</w:t>
            </w:r>
          </w:p>
          <w:p w:rsidR="00000000" w:rsidDel="00000000" w:rsidP="00000000" w:rsidRDefault="00000000" w:rsidRPr="00000000" w14:paraId="0000006D">
            <w:pPr>
              <w:spacing w:line="26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(滿分10分)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6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體適能四項目：仰臥起坐、坐姿體前彎、立定跳遠、心肺耐力跑(男1600公尺/女800公尺)</w:t>
            </w:r>
          </w:p>
          <w:p w:rsidR="00000000" w:rsidDel="00000000" w:rsidP="00000000" w:rsidRDefault="00000000" w:rsidRPr="00000000" w14:paraId="0000006F">
            <w:pPr>
              <w:spacing w:line="2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1.同一次檢測四項均無(或僅一項)達門檻得4分；任二項達門檻得6分。</w:t>
            </w:r>
          </w:p>
          <w:p w:rsidR="00000000" w:rsidDel="00000000" w:rsidP="00000000" w:rsidRDefault="00000000" w:rsidRPr="00000000" w14:paraId="00000070">
            <w:pPr>
              <w:spacing w:line="2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2.同一次檢測任二項成績達百分等級50以上得8分；任二項成績達百分等級75以上得9分；任二項成績達百分等級85以上得10分。</w:t>
            </w:r>
          </w:p>
          <w:p w:rsidR="00000000" w:rsidDel="00000000" w:rsidP="00000000" w:rsidRDefault="00000000" w:rsidRPr="00000000" w14:paraId="00000071">
            <w:pPr>
              <w:spacing w:line="26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3.身心障礙(持手冊或鑑輔會鑑定)、重大傷病及體弱(公立醫院證明)得6分。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9" w:hRule="atLeast"/>
        </w:trPr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260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語言認證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(滿分5分)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7C">
            <w:pPr>
              <w:spacing w:line="26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閩南語、客家語、原住民族語：基礎級以上者均採計5分。英語：相當CEF架構A2級以上者採計5分。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※認證資料非國中教育階段取得者亦予採計。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9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5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3.就近入學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7">
            <w:pPr>
              <w:spacing w:line="2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符合10分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89">
            <w:pPr>
              <w:spacing w:line="2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不符0分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C">
            <w:pPr>
              <w:spacing w:line="28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28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10分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3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4.國中教育</w:t>
            </w:r>
          </w:p>
          <w:p w:rsidR="00000000" w:rsidDel="00000000" w:rsidP="00000000" w:rsidRDefault="00000000" w:rsidRPr="00000000" w14:paraId="00000091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會考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3">
            <w:pPr>
              <w:spacing w:line="2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精熟每科6分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5">
            <w:pPr>
              <w:spacing w:line="2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基礎每科4分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8">
            <w:pPr>
              <w:spacing w:line="28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Fonts w:ascii="Gungsuh" w:cs="Gungsuh" w:eastAsia="Gungsuh" w:hAnsi="Gungsuh"/>
                <w:sz w:val="21"/>
                <w:szCs w:val="21"/>
                <w:rtl w:val="0"/>
              </w:rPr>
              <w:t xml:space="preserve">待加強每科2分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line="28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30分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8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Fonts w:ascii="Gungsuh" w:cs="Gungsuh" w:eastAsia="Gungsuh" w:hAnsi="Gungsuh"/>
                <w:sz w:val="21"/>
                <w:szCs w:val="21"/>
                <w:rtl w:val="0"/>
              </w:rPr>
              <w:t xml:space="preserve">會考分數換算為積點，五科加上寫作測驗總積點為36點：每一科A++(7點)、A+(6點)、A(5點)、B++(4點)、B+(3點)、B(2點)、C(1點)。寫作測驗6級分1點、5級分0.8點、4級分0.6點、3級分0.4點、2級分0.2點、1級分0.1點、0級分0點。</w:t>
            </w:r>
          </w:p>
        </w:tc>
      </w:tr>
      <w:tr>
        <w:trPr>
          <w:trHeight w:val="443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C">
            <w:pPr>
              <w:spacing w:line="280" w:lineRule="auto"/>
              <w:jc w:val="center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參考總分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9E">
            <w:pPr>
              <w:spacing w:line="28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line="280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Fonts w:ascii="Gungsuh" w:cs="Gungsuh" w:eastAsia="Gungsuh" w:hAnsi="Gungsuh"/>
                <w:sz w:val="22"/>
                <w:szCs w:val="22"/>
                <w:rtl w:val="0"/>
              </w:rPr>
              <w:t xml:space="preserve">100分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line="3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0" w:right="0" w:firstLine="0"/>
        <w:jc w:val="left"/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同分比序順序：(1)總積分 (2)志願序 (3)國中教育會考總積分 (4)多元學習表現總積分 (5)國中教育會考總積點 (6)會考加註標示(先比總標示，再依序比國、英、數、自、社分科標示) (7)志願序內之學校序(例：第一志願序內之第一間學校之第一科別)  [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※</w:t>
      </w:r>
      <w:r w:rsidDel="00000000" w:rsidR="00000000" w:rsidRPr="00000000">
        <w:rPr>
          <w:rFonts w:ascii="MingLiu" w:cs="MingLiu" w:eastAsia="MingLiu" w:hAnsi="MingLiu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總積分相同時，以經濟弱勢學生(低收入戶子女)優先錄取]</w:t>
      </w:r>
    </w:p>
    <w:sectPr>
      <w:pgSz w:h="16838" w:w="11906" w:orient="portrait"/>
      <w:pgMar w:bottom="567" w:top="567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PMingLiu"/>
  <w:font w:name="Georgia"/>
  <w:font w:name="Times New Roman"/>
  <w:font w:name="Gungsuh"/>
  <w:font w:name="MingLiu"/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mbria" w:cs="Cambria" w:eastAsia="Cambria" w:hAnsi="Cambria"/>
      <w:b w:val="1"/>
      <w:sz w:val="52"/>
      <w:szCs w:val="52"/>
    </w:rPr>
  </w:style>
  <w:style w:type="paragraph" w:styleId="Heading2">
    <w:name w:val="heading 2"/>
    <w:basedOn w:val="Normal"/>
    <w:next w:val="Normal"/>
    <w:pPr>
      <w:widowControl w:val="1"/>
    </w:pPr>
    <w:rPr>
      <w:rFonts w:ascii="PMingLiu" w:cs="PMingLiu" w:eastAsia="PMingLiu" w:hAnsi="PMingLiu"/>
      <w:b w:val="1"/>
      <w:sz w:val="36"/>
      <w:szCs w:val="36"/>
    </w:rPr>
  </w:style>
  <w:style w:type="paragraph" w:styleId="Heading3">
    <w:name w:val="heading 3"/>
    <w:basedOn w:val="Normal"/>
    <w:next w:val="Normal"/>
    <w:pPr>
      <w:widowControl w:val="1"/>
    </w:pPr>
    <w:rPr>
      <w:rFonts w:ascii="PMingLiu" w:cs="PMingLiu" w:eastAsia="PMingLiu" w:hAnsi="PMingLiu"/>
      <w:b w:val="1"/>
      <w:sz w:val="27"/>
      <w:szCs w:val="27"/>
    </w:rPr>
  </w:style>
  <w:style w:type="paragraph" w:styleId="Heading4">
    <w:name w:val="heading 4"/>
    <w:basedOn w:val="Normal"/>
    <w:next w:val="Normal"/>
    <w:pPr>
      <w:widowControl w:val="1"/>
    </w:pPr>
    <w:rPr>
      <w:rFonts w:ascii="PMingLiu" w:cs="PMingLiu" w:eastAsia="PMingLiu" w:hAnsi="PMingLiu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