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40"/>
        <w:rPr>
          <w:rFonts w:ascii="標楷體" w:hAnsi="標楷體" w:eastAsia="標楷體" w:cs="標楷體"/>
          <w:b/>
          <w:b/>
          <w:sz w:val="28"/>
          <w:szCs w:val="28"/>
        </w:rPr>
      </w:pPr>
      <w:r>
        <w:rPr>
          <w:rFonts w:ascii="標楷體" w:hAnsi="標楷體" w:cs="標楷體" w:eastAsia="標楷體"/>
          <w:b/>
          <w:sz w:val="28"/>
          <w:szCs w:val="28"/>
        </w:rPr>
        <w:t>附件四</w:t>
      </w:r>
    </w:p>
    <w:p>
      <w:pPr>
        <w:pStyle w:val="Normal"/>
        <w:spacing w:lineRule="exact" w:line="440"/>
        <w:jc w:val="center"/>
        <w:rPr>
          <w:rFonts w:ascii="標楷體" w:hAnsi="標楷體" w:eastAsia="標楷體" w:cs="標楷體"/>
          <w:b/>
          <w:b/>
          <w:sz w:val="28"/>
          <w:szCs w:val="28"/>
        </w:rPr>
      </w:pPr>
      <w:r>
        <w:rPr>
          <w:rFonts w:ascii="標楷體" w:hAnsi="標楷體" w:cs="標楷體" w:eastAsia="標楷體"/>
          <w:b/>
          <w:sz w:val="28"/>
          <w:szCs w:val="28"/>
        </w:rPr>
        <w:t>○</w:t>
      </w:r>
      <w:r>
        <w:rPr>
          <w:rFonts w:ascii="標楷體" w:hAnsi="標楷體" w:cs="標楷體" w:eastAsia="標楷體"/>
          <w:b/>
          <w:sz w:val="28"/>
          <w:szCs w:val="28"/>
        </w:rPr>
        <w:t>學年度○○就學區學生免試入學超額比序（未含志願序）</w:t>
      </w:r>
    </w:p>
    <w:p>
      <w:pPr>
        <w:pStyle w:val="Normal"/>
        <w:spacing w:lineRule="exact" w:line="440"/>
        <w:jc w:val="center"/>
        <w:rPr>
          <w:rFonts w:ascii="標楷體" w:hAnsi="標楷體" w:eastAsia="標楷體" w:cs="標楷體"/>
          <w:b/>
          <w:b/>
          <w:sz w:val="28"/>
          <w:szCs w:val="28"/>
        </w:rPr>
      </w:pPr>
      <w:r>
        <w:rPr>
          <w:rFonts w:ascii="標楷體" w:hAnsi="標楷體" w:cs="標楷體" w:eastAsia="標楷體"/>
          <w:b/>
          <w:sz w:val="28"/>
          <w:szCs w:val="28"/>
        </w:rPr>
        <w:t>個別序位之比率及累積人數區間</w:t>
      </w:r>
    </w:p>
    <w:p>
      <w:pPr>
        <w:pStyle w:val="Normal"/>
        <w:rPr>
          <w:rFonts w:ascii="標楷體" w:hAnsi="標楷體" w:eastAsia="標楷體" w:cs="標楷體"/>
          <w:sz w:val="28"/>
          <w:szCs w:val="28"/>
          <w:lang w:val="zh-TW" w:eastAsia="zh-TW"/>
        </w:rPr>
      </w:pPr>
      <w:r>
        <w:rPr>
          <w:rFonts w:eastAsia="標楷體" w:cs="標楷體" w:ascii="標楷體" w:hAnsi="標楷體"/>
          <w:sz w:val="28"/>
          <w:szCs w:val="28"/>
          <w:lang w:val="zh-TW" w:eastAsia="zh-TW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-4445</wp:posOffset>
                </wp:positionH>
                <wp:positionV relativeFrom="paragraph">
                  <wp:posOffset>417830</wp:posOffset>
                </wp:positionV>
                <wp:extent cx="6181090" cy="8006715"/>
                <wp:effectExtent l="0" t="0" r="0" b="0"/>
                <wp:wrapNone/>
                <wp:docPr id="1" name="框架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090" cy="800671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exact" w:line="520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exact" w:line="520"/>
                              <w:rPr/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學生：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身分證字號：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pStyle w:val="Normal"/>
                              <w:spacing w:lineRule="exact" w:line="520"/>
                              <w:ind w:start="2240" w:end="0" w:hanging="2240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exact" w:line="520"/>
                              <w:ind w:start="1395" w:end="0" w:hanging="795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個別序位之比率及累積人數區間：</w:t>
                            </w:r>
                          </w:p>
                          <w:p>
                            <w:pPr>
                              <w:pStyle w:val="Normal"/>
                              <w:spacing w:lineRule="exact" w:line="520"/>
                              <w:ind w:start="1395" w:end="0" w:hanging="795"/>
                              <w:rPr/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比率區間：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％</w:t>
                            </w:r>
                            <w:r>
                              <w:rPr>
                                <w:rFonts w:ascii="標楷體" w:hAnsi="標楷體" w:cs="新細明體;PMingLiU" w:eastAsia="標楷體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％</w:t>
                            </w:r>
                          </w:p>
                          <w:p>
                            <w:pPr>
                              <w:pStyle w:val="Normal"/>
                              <w:spacing w:lineRule="exact" w:line="520"/>
                              <w:ind w:start="1395" w:end="0" w:hanging="795"/>
                              <w:rPr/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累積人數區間：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ascii="標楷體" w:hAnsi="標楷體" w:cs="新細明體;PMingLiU" w:eastAsia="標楷體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人</w:t>
                            </w:r>
                          </w:p>
                          <w:p>
                            <w:pPr>
                              <w:pStyle w:val="Normal"/>
                              <w:spacing w:lineRule="exact" w:line="520"/>
                              <w:ind w:start="2240" w:end="0" w:hanging="2240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exact" w:line="520"/>
                              <w:ind w:start="2240" w:end="0" w:hanging="2240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備註：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spacing w:lineRule="exact" w:line="520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個別序位之比率及累積人數區間計算以原就學區內之升學學生（扣除已錄取且報到科學班、技優甄審入學、直升入學、實用技能學程輔導分發、職業類科甄選入學等管道之學生）人數為準。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spacing w:lineRule="exact" w:line="520"/>
                              <w:jc w:val="both"/>
                              <w:rPr/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根據該區超額比序項目之分配及比序順次，計算該區學生之整體表現，由前至後排序，並以每一區間比率不低於百分之</w:t>
                            </w:r>
                            <w:r>
                              <w:rPr>
                                <w:rFonts w:eastAsia="標楷體" w:cs="標楷體" w:ascii="標楷體" w:hAnsi="標楷體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．三且人數不少於一百人，計算其個別序位所屬區間。其比率均算至小數點第二位，第三位以下四捨五入；另就序位比率為後百分之二十以下者，得以同一比率區間呈現。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spacing w:lineRule="exact" w:line="520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本服務資訊僅供個人進行志願選填參考，</w:t>
                            </w:r>
                            <w:bookmarkStart w:id="0" w:name="OLE_LINK3"/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任何個人、團體、學校或機關</w:t>
                            </w:r>
                            <w:bookmarkStart w:id="1" w:name="OLE_LINK2"/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不得蒐集處理、公開呈現或做其他目的之使用</w:t>
                            </w:r>
                            <w:bookmarkEnd w:id="0"/>
                            <w:bookmarkEnd w:id="1"/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spacing w:lineRule="exact" w:line="520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bookmarkStart w:id="2" w:name="OLE_LINK7"/>
                            <w:bookmarkStart w:id="3" w:name="OLE_LINK14"/>
                            <w:bookmarkEnd w:id="2"/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選</w:t>
                            </w:r>
                            <w:bookmarkStart w:id="4" w:name="OLE_LINK8"/>
                            <w:bookmarkEnd w:id="3"/>
                            <w:bookmarkEnd w:id="4"/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填志願時，除參考本服務資訊外，務必考量國中學生生涯輔導紀錄手冊及生涯發展規劃書，並參酌以往免試入學志願選填試探後，學校所給予之輔導建議，依照興趣、性向和能力，將志願序填滿，以選擇適宜的學校就近入學。</w:t>
                            </w:r>
                          </w:p>
                          <w:p>
                            <w:pPr>
                              <w:pStyle w:val="Normal"/>
                              <w:spacing w:lineRule="exact" w:line="520"/>
                              <w:ind w:start="2240" w:end="0" w:hanging="2240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bookmarkStart w:id="5" w:name="OLE_LINK7"/>
                            <w:bookmarkStart w:id="6" w:name="OLE_LINK7"/>
                            <w:bookmarkEnd w:id="6"/>
                            <w:r>
                              <w:rPr>
                                <w:rFonts w:eastAsia="標楷體" w:cs="標楷體" w:ascii="標楷體" w:hAnsi="標楷體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exact" w:line="520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6.7pt;height:630.45pt;mso-wrap-distance-left:9.05pt;mso-wrap-distance-right:9.05pt;margin-top:32.9pt;mso-position-vertical-relative:text;margin-left:-0.3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spacing w:lineRule="exact" w:line="520"/>
                        <w:rPr>
                          <w:rFonts w:ascii="標楷體" w:hAnsi="標楷體" w:eastAsia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cs="標楷體" w:ascii="標楷體" w:hAnsi="標楷體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  <w:spacing w:lineRule="exact" w:line="520"/>
                        <w:rPr/>
                      </w:pP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學生：</w:t>
                      </w: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身分證字號：</w:t>
                      </w: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</w:p>
                    <w:p>
                      <w:pPr>
                        <w:pStyle w:val="Normal"/>
                        <w:spacing w:lineRule="exact" w:line="520"/>
                        <w:ind w:start="2240" w:end="0" w:hanging="2240"/>
                        <w:rPr>
                          <w:rFonts w:ascii="標楷體" w:hAnsi="標楷體" w:eastAsia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cs="標楷體" w:ascii="標楷體" w:hAnsi="標楷體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  <w:spacing w:lineRule="exact" w:line="520"/>
                        <w:ind w:start="1395" w:end="0" w:hanging="795"/>
                        <w:rPr>
                          <w:rFonts w:ascii="標楷體" w:hAnsi="標楷體" w:eastAsia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個別序位之比率及累積人數區間：</w:t>
                      </w:r>
                    </w:p>
                    <w:p>
                      <w:pPr>
                        <w:pStyle w:val="Normal"/>
                        <w:spacing w:lineRule="exact" w:line="520"/>
                        <w:ind w:start="1395" w:end="0" w:hanging="795"/>
                        <w:rPr/>
                      </w:pP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比率區間：</w:t>
                      </w: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％</w:t>
                      </w:r>
                      <w:r>
                        <w:rPr>
                          <w:rFonts w:ascii="標楷體" w:hAnsi="標楷體" w:cs="新細明體;PMingLiU" w:eastAsia="標楷體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％</w:t>
                      </w:r>
                    </w:p>
                    <w:p>
                      <w:pPr>
                        <w:pStyle w:val="Normal"/>
                        <w:spacing w:lineRule="exact" w:line="520"/>
                        <w:ind w:start="1395" w:end="0" w:hanging="795"/>
                        <w:rPr/>
                      </w:pP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累積人數區間：</w:t>
                      </w: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人</w:t>
                      </w:r>
                      <w:r>
                        <w:rPr>
                          <w:rFonts w:ascii="標楷體" w:hAnsi="標楷體" w:cs="新細明體;PMingLiU" w:eastAsia="標楷體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人</w:t>
                      </w:r>
                    </w:p>
                    <w:p>
                      <w:pPr>
                        <w:pStyle w:val="Normal"/>
                        <w:spacing w:lineRule="exact" w:line="520"/>
                        <w:ind w:start="2240" w:end="0" w:hanging="2240"/>
                        <w:rPr>
                          <w:rFonts w:ascii="標楷體" w:hAnsi="標楷體" w:eastAsia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cs="標楷體" w:ascii="標楷體" w:hAnsi="標楷體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  <w:spacing w:lineRule="exact" w:line="520"/>
                        <w:ind w:start="2240" w:end="0" w:hanging="2240"/>
                        <w:rPr>
                          <w:rFonts w:ascii="標楷體" w:hAnsi="標楷體" w:eastAsia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備註：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3"/>
                        </w:numPr>
                        <w:spacing w:lineRule="exact" w:line="520"/>
                        <w:rPr>
                          <w:rFonts w:ascii="標楷體" w:hAnsi="標楷體" w:eastAsia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個別序位之比率及累積人數區間計算以原就學區內之升學學生（扣除已錄取且報到科學班、技優甄審入學、直升入學、實用技能學程輔導分發、職業類科甄選入學等管道之學生）人數為準。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3"/>
                        </w:numPr>
                        <w:spacing w:lineRule="exact" w:line="520"/>
                        <w:jc w:val="both"/>
                        <w:rPr/>
                      </w:pP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根據該區超額比序項目之分配及比序順次，計算該區學生之整體表現，由前至後排序，並以每一區間比率不低於百分之</w:t>
                      </w:r>
                      <w:r>
                        <w:rPr>
                          <w:rFonts w:eastAsia="標楷體" w:cs="標楷體" w:ascii="標楷體" w:hAnsi="標楷體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．三且人數不少於一百人，計算其個別序位所屬區間。其比率均算至小數點第二位，第三位以下四捨五入；另就序位比率為後百分之二十以下者，得以同一比率區間呈現。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3"/>
                        </w:numPr>
                        <w:spacing w:lineRule="exact" w:line="520"/>
                        <w:rPr>
                          <w:rFonts w:ascii="標楷體" w:hAnsi="標楷體" w:eastAsia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本服務資訊僅供個人進行志願選填參考，</w:t>
                      </w:r>
                      <w:bookmarkStart w:id="7" w:name="OLE_LINK3"/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任何個人、團體、學校或機關</w:t>
                      </w:r>
                      <w:bookmarkStart w:id="8" w:name="OLE_LINK2"/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不得蒐集處理、公開呈現或做其他目的之使用</w:t>
                      </w:r>
                      <w:bookmarkEnd w:id="7"/>
                      <w:bookmarkEnd w:id="8"/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。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3"/>
                        </w:numPr>
                        <w:spacing w:lineRule="exact" w:line="520"/>
                        <w:rPr>
                          <w:rFonts w:ascii="標楷體" w:hAnsi="標楷體" w:eastAsia="標楷體" w:cs="標楷體"/>
                          <w:sz w:val="28"/>
                          <w:szCs w:val="28"/>
                        </w:rPr>
                      </w:pPr>
                      <w:bookmarkStart w:id="9" w:name="OLE_LINK7"/>
                      <w:bookmarkStart w:id="10" w:name="OLE_LINK14"/>
                      <w:bookmarkEnd w:id="9"/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選</w:t>
                      </w:r>
                      <w:bookmarkStart w:id="11" w:name="OLE_LINK8"/>
                      <w:bookmarkEnd w:id="10"/>
                      <w:bookmarkEnd w:id="11"/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填志願時，除參考本服務資訊外，務必考量國中學生生涯輔導紀錄手冊及生涯發展規劃書，並參酌以往免試入學志願選填試探後，學校所給予之輔導建議，依照興趣、性向和能力，將志願序填滿，以選擇適宜的學校就近入學。</w:t>
                      </w:r>
                    </w:p>
                    <w:p>
                      <w:pPr>
                        <w:pStyle w:val="Normal"/>
                        <w:spacing w:lineRule="exact" w:line="520"/>
                        <w:ind w:start="2240" w:end="0" w:hanging="2240"/>
                        <w:rPr>
                          <w:rFonts w:ascii="標楷體" w:hAnsi="標楷體" w:eastAsia="標楷體" w:cs="標楷體"/>
                          <w:sz w:val="28"/>
                          <w:szCs w:val="28"/>
                        </w:rPr>
                      </w:pPr>
                      <w:bookmarkStart w:id="12" w:name="OLE_LINK7"/>
                      <w:bookmarkStart w:id="13" w:name="OLE_LINK7"/>
                      <w:bookmarkEnd w:id="13"/>
                      <w:r>
                        <w:rPr>
                          <w:rFonts w:eastAsia="標楷體" w:cs="標楷體" w:ascii="標楷體" w:hAnsi="標楷體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  <w:spacing w:lineRule="exact" w:line="520"/>
                        <w:rPr>
                          <w:rFonts w:ascii="標楷體" w:hAnsi="標楷體" w:eastAsia="標楷體" w:cs="標楷體"/>
                        </w:rPr>
                      </w:pPr>
                      <w:r>
                        <w:rPr>
                          <w:rFonts w:eastAsia="標楷體" w:cs="標楷體" w:ascii="標楷體" w:hAnsi="標楷體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sectPr>
      <w:type w:val="nextPage"/>
      <w:pgSz w:w="11906" w:h="16838"/>
      <w:pgMar w:left="1134" w:right="1134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Wingdings">
    <w:charset w:val="02"/>
    <w:family w:val="auto"/>
    <w:pitch w:val="variable"/>
  </w:font>
  <w:font w:name="Courier New">
    <w:charset w:val="88"/>
    <w:family w:val="modern"/>
    <w:pitch w:val="default"/>
  </w:font>
  <w:font w:name="標楷體">
    <w:charset w:val="88"/>
    <w:family w:val="script"/>
    <w:pitch w:val="default"/>
  </w:font>
  <w:font w:name="新細明體">
    <w:altName w:val="PMingLiU"/>
    <w:charset w:val="88"/>
    <w:family w:val="roman"/>
    <w:pitch w:val="variable"/>
  </w:font>
  <w:font w:name="Arial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bullet"/>
      <w:lvlText w:val=""/>
      <w:lvlJc w:val="start"/>
      <w:pPr>
        <w:tabs>
          <w:tab w:val="num" w:pos="361"/>
        </w:tabs>
        <w:ind w:start="361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sz w:val="28"/>
        <w:szCs w:val="28"/>
        <w:rFonts w:ascii="標楷體" w:hAnsi="標楷體" w:eastAsia="標楷體" w:cs="標楷體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icrosoft YaHei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sz w:val="24"/>
      <w:szCs w:val="24"/>
      <w:lang w:val="en-US" w:eastAsia="zh-TW" w:bidi="ar-SA"/>
    </w:rPr>
  </w:style>
  <w:style w:type="paragraph" w:styleId="1">
    <w:name w:val="標題 1"/>
    <w:basedOn w:val="Style13"/>
    <w:next w:val="Style14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標題 2"/>
    <w:basedOn w:val="Style13"/>
    <w:next w:val="Style14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標題 3"/>
    <w:basedOn w:val="Style13"/>
    <w:next w:val="Style14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3z0">
    <w:name w:val="WW8Num3z0"/>
    <w:qFormat/>
    <w:rPr>
      <w:rFonts w:ascii="標楷體" w:hAnsi="標楷體" w:eastAsia="標楷體" w:cs="標楷體"/>
      <w:sz w:val="28"/>
      <w:szCs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新細明體;PMingLiU" w:hAnsi="新細明體;PMingLiU" w:eastAsia="新細明體;PMingLiU" w:cs="新細明體;PMingLiU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8">
    <w:name w:val="WW8Num4z8"/>
    <w:qFormat/>
    <w:rPr/>
  </w:style>
  <w:style w:type="character" w:styleId="Style11">
    <w:name w:val="預設段落字型"/>
    <w:qFormat/>
    <w:rPr/>
  </w:style>
  <w:style w:type="character" w:styleId="11">
    <w:name w:val=" 字元 字元1"/>
    <w:qFormat/>
    <w:rPr/>
  </w:style>
  <w:style w:type="character" w:styleId="Style12">
    <w:name w:val=" 字元 字元"/>
    <w:qFormat/>
    <w:rPr/>
  </w:style>
  <w:style w:type="paragraph" w:styleId="Style13">
    <w:name w:val="標題"/>
    <w:basedOn w:val="Normal"/>
    <w:next w:val="Style14"/>
    <w:qFormat/>
    <w:pPr>
      <w:keepNext/>
      <w:spacing w:before="240" w:after="120"/>
    </w:pPr>
    <w:rPr>
      <w:rFonts w:ascii="Arial" w:hAnsi="Arial" w:eastAsia="新細明體" w:cs="Mangal"/>
      <w:sz w:val="28"/>
      <w:szCs w:val="28"/>
    </w:rPr>
  </w:style>
  <w:style w:type="paragraph" w:styleId="Style14">
    <w:name w:val="內文"/>
    <w:basedOn w:val="Normal"/>
    <w:pPr>
      <w:spacing w:before="0" w:after="120"/>
    </w:pPr>
    <w:rPr/>
  </w:style>
  <w:style w:type="paragraph" w:styleId="Style15">
    <w:name w:val="清單"/>
    <w:basedOn w:val="Style14"/>
    <w:pPr/>
    <w:rPr>
      <w:rFonts w:cs="Mangal"/>
    </w:rPr>
  </w:style>
  <w:style w:type="paragraph" w:styleId="Style16">
    <w:name w:val="圖表標示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Mangal"/>
    </w:rPr>
  </w:style>
  <w:style w:type="paragraph" w:styleId="Style18">
    <w:name w:val="項目符號"/>
    <w:basedOn w:val="Normal"/>
    <w:qFormat/>
    <w:pPr>
      <w:numPr>
        <w:ilvl w:val="0"/>
        <w:numId w:val="2"/>
      </w:numPr>
    </w:pPr>
    <w:rPr/>
  </w:style>
  <w:style w:type="paragraph" w:styleId="Style19">
    <w:name w:val="頁首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  <w:lang w:val="zh-TW"/>
    </w:rPr>
  </w:style>
  <w:style w:type="paragraph" w:styleId="Style20">
    <w:name w:val="頁尾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  <w:lang w:val="zh-TW"/>
    </w:rPr>
  </w:style>
  <w:style w:type="paragraph" w:styleId="Style21">
    <w:name w:val="框架內容"/>
    <w:basedOn w:val="Style14"/>
    <w:qFormat/>
    <w:pPr/>
    <w:rPr/>
  </w:style>
  <w:style w:type="paragraph" w:styleId="Style22">
    <w:name w:val="引言"/>
    <w:basedOn w:val="Normal"/>
    <w:qFormat/>
    <w:pPr>
      <w:spacing w:before="0" w:after="283"/>
      <w:ind w:start="567" w:end="567" w:hanging="0"/>
    </w:pPr>
    <w:rPr/>
  </w:style>
  <w:style w:type="paragraph" w:styleId="Style23">
    <w:name w:val="題名"/>
    <w:basedOn w:val="Style13"/>
    <w:next w:val="Style14"/>
    <w:pPr>
      <w:jc w:val="center"/>
    </w:pPr>
    <w:rPr>
      <w:b/>
      <w:bCs/>
      <w:sz w:val="56"/>
      <w:szCs w:val="56"/>
    </w:rPr>
  </w:style>
  <w:style w:type="paragraph" w:styleId="Style24">
    <w:name w:val="副題"/>
    <w:basedOn w:val="Style13"/>
    <w:next w:val="Style14"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Application>LibreOffice/5.0.1.2$Windows_x86 LibreOffice_project/81898c9f5c0d43f3473ba111d7b351050be20261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2015-03-31T09:54:00Z</dcterms:created>
  <dc:creator>moejsmpc</dc:creator>
  <dc:language>zh-TW</dc:language>
  <cp:lastModifiedBy>tpde</cp:lastModifiedBy>
  <cp:lastPrinted>2015-04-24T12:27:00Z</cp:lastPrinted>
  <dcterms:modified xsi:type="dcterms:W3CDTF">2015-04-24T12:27:00Z</dcterms:modified>
  <cp:revision>13</cp:revision>
  <dc:title>各就學區免試入學志願選填畫面新增介面：</dc:title>
</cp:coreProperties>
</file>