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CC" w:rsidRDefault="00E13BCC" w:rsidP="00E13BCC">
      <w:pPr>
        <w:spacing w:line="240" w:lineRule="atLeast"/>
        <w:rPr>
          <w:rFonts w:ascii="標楷體" w:eastAsia="標楷體" w:hAnsi="標楷體" w:cs="Times New Roman"/>
          <w:b/>
          <w:sz w:val="30"/>
          <w:szCs w:val="30"/>
        </w:rPr>
      </w:pPr>
      <w:bookmarkStart w:id="0" w:name="_GoBack"/>
      <w:r w:rsidRPr="00E13BCC">
        <w:rPr>
          <w:rFonts w:ascii="標楷體" w:eastAsia="標楷體" w:hAnsi="標楷體" w:cs="Times New Roman" w:hint="eastAsia"/>
          <w:b/>
          <w:sz w:val="30"/>
          <w:szCs w:val="30"/>
        </w:rPr>
        <w:t>104年度人事行政研究發展徵文獎勵個人獎勵得獎作品一覽表</w:t>
      </w:r>
    </w:p>
    <w:bookmarkEnd w:id="0"/>
    <w:p w:rsidR="00D8097F" w:rsidRPr="00CC224F" w:rsidRDefault="009C57F4" w:rsidP="00E13BCC">
      <w:pPr>
        <w:spacing w:line="240" w:lineRule="atLeast"/>
        <w:rPr>
          <w:rFonts w:ascii="Times New Roman" w:eastAsia="標楷體" w:hAnsi="Times New Roman" w:cs="Times New Roman"/>
          <w:b/>
          <w:sz w:val="28"/>
          <w:szCs w:val="28"/>
        </w:rPr>
      </w:pPr>
      <w:r w:rsidRPr="00CC224F">
        <w:rPr>
          <w:rFonts w:ascii="Times New Roman" w:eastAsia="標楷體" w:hAnsi="Times New Roman" w:cs="Times New Roman" w:hint="eastAsia"/>
          <w:b/>
          <w:sz w:val="28"/>
          <w:szCs w:val="28"/>
        </w:rPr>
        <w:t>一、</w:t>
      </w:r>
      <w:r w:rsidR="00D8097F" w:rsidRPr="00CC224F">
        <w:rPr>
          <w:rFonts w:ascii="Times New Roman" w:eastAsia="標楷體" w:hAnsi="Times New Roman" w:cs="Times New Roman"/>
          <w:b/>
          <w:sz w:val="28"/>
          <w:szCs w:val="28"/>
        </w:rPr>
        <w:t>指定主題組（</w:t>
      </w:r>
      <w:r w:rsidR="00D8097F" w:rsidRPr="00CC224F">
        <w:rPr>
          <w:rFonts w:ascii="Times New Roman" w:eastAsia="標楷體" w:hAnsi="Times New Roman" w:cs="Times New Roman"/>
          <w:b/>
          <w:sz w:val="28"/>
          <w:szCs w:val="28"/>
        </w:rPr>
        <w:t>2</w:t>
      </w:r>
      <w:r w:rsidR="004325C9">
        <w:rPr>
          <w:rFonts w:ascii="Times New Roman" w:eastAsia="標楷體" w:hAnsi="Times New Roman" w:cs="Times New Roman" w:hint="eastAsia"/>
          <w:b/>
          <w:sz w:val="28"/>
          <w:szCs w:val="28"/>
        </w:rPr>
        <w:t>1</w:t>
      </w:r>
      <w:r w:rsidR="00D8097F" w:rsidRPr="00CC224F">
        <w:rPr>
          <w:rFonts w:ascii="Times New Roman" w:eastAsia="標楷體" w:hAnsi="Times New Roman" w:cs="Times New Roman"/>
          <w:b/>
          <w:sz w:val="28"/>
          <w:szCs w:val="28"/>
        </w:rPr>
        <w:t>篇）：</w:t>
      </w:r>
    </w:p>
    <w:tbl>
      <w:tblPr>
        <w:tblW w:w="8626" w:type="dxa"/>
        <w:jc w:val="center"/>
        <w:tblInd w:w="-1038"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left w:w="28" w:type="dxa"/>
          <w:right w:w="28" w:type="dxa"/>
        </w:tblCellMar>
        <w:tblLook w:val="04A0"/>
      </w:tblPr>
      <w:tblGrid>
        <w:gridCol w:w="475"/>
        <w:gridCol w:w="5214"/>
        <w:gridCol w:w="1842"/>
        <w:gridCol w:w="1095"/>
      </w:tblGrid>
      <w:tr w:rsidR="004451D4" w:rsidRPr="00D8097F" w:rsidTr="004451D4">
        <w:trPr>
          <w:tblHeader/>
          <w:jc w:val="center"/>
        </w:trPr>
        <w:tc>
          <w:tcPr>
            <w:tcW w:w="475" w:type="dxa"/>
            <w:shd w:val="clear" w:color="auto" w:fill="B2B2B2"/>
            <w:vAlign w:val="center"/>
            <w:hideMark/>
          </w:tcPr>
          <w:p w:rsidR="004451D4" w:rsidRPr="000665C3" w:rsidRDefault="004451D4" w:rsidP="000665C3">
            <w:pPr>
              <w:widowControl/>
              <w:spacing w:line="280" w:lineRule="exact"/>
              <w:jc w:val="center"/>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等次</w:t>
            </w:r>
          </w:p>
        </w:tc>
        <w:tc>
          <w:tcPr>
            <w:tcW w:w="5214" w:type="dxa"/>
            <w:shd w:val="clear" w:color="auto" w:fill="B2B2B2"/>
            <w:vAlign w:val="center"/>
            <w:hideMark/>
          </w:tcPr>
          <w:p w:rsidR="004451D4" w:rsidRPr="000665C3" w:rsidRDefault="004451D4" w:rsidP="00E557C1">
            <w:pPr>
              <w:widowControl/>
              <w:spacing w:line="280" w:lineRule="exact"/>
              <w:jc w:val="both"/>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作品名稱</w:t>
            </w:r>
          </w:p>
        </w:tc>
        <w:tc>
          <w:tcPr>
            <w:tcW w:w="1842" w:type="dxa"/>
            <w:shd w:val="clear" w:color="auto" w:fill="B2B2B2"/>
            <w:vAlign w:val="center"/>
            <w:hideMark/>
          </w:tcPr>
          <w:p w:rsidR="004451D4" w:rsidRPr="000665C3" w:rsidRDefault="004451D4" w:rsidP="00E557C1">
            <w:pPr>
              <w:widowControl/>
              <w:spacing w:line="280" w:lineRule="exact"/>
              <w:jc w:val="both"/>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類別</w:t>
            </w:r>
          </w:p>
        </w:tc>
        <w:tc>
          <w:tcPr>
            <w:tcW w:w="1095" w:type="dxa"/>
            <w:shd w:val="clear" w:color="auto" w:fill="B2B2B2"/>
            <w:vAlign w:val="center"/>
            <w:hideMark/>
          </w:tcPr>
          <w:p w:rsidR="004451D4" w:rsidRPr="000665C3" w:rsidRDefault="004451D4" w:rsidP="00E557C1">
            <w:pPr>
              <w:widowControl/>
              <w:spacing w:line="280" w:lineRule="exact"/>
              <w:jc w:val="center"/>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作者</w:t>
            </w:r>
          </w:p>
          <w:p w:rsidR="004451D4" w:rsidRPr="000665C3" w:rsidRDefault="004451D4" w:rsidP="00E557C1">
            <w:pPr>
              <w:widowControl/>
              <w:spacing w:line="280" w:lineRule="exact"/>
              <w:jc w:val="center"/>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姓名</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優等</w:t>
            </w:r>
            <w:r>
              <w:rPr>
                <w:rFonts w:ascii="Times New Roman" w:eastAsia="標楷體" w:hAnsi="Times New Roman" w:cs="Times New Roman" w:hint="eastAsia"/>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來自星星的老師？淺談人事主管如何運用社會工作專業技巧建構學校員工協助方案</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王正億</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黃文芳</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優等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建構縣市長更迭下國民中小學校長領導形態對教職員工影響之員工協助模式初探</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以九合一選舉後的台北市及新北市為例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翁祺宜</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甲等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運用循證管理架構發展地方政府公務人員核心職能訓練地圖</w:t>
            </w:r>
            <w:r>
              <w:rPr>
                <w:rFonts w:ascii="Times New Roman" w:eastAsia="標楷體" w:hAnsi="Times New Roman" w:cs="Times New Roman"/>
                <w:szCs w:val="24"/>
              </w:rPr>
              <w:t>—</w:t>
            </w:r>
            <w:r w:rsidRPr="000665C3">
              <w:rPr>
                <w:rFonts w:ascii="Times New Roman" w:eastAsia="標楷體" w:hAnsi="Times New Roman" w:cs="Times New Roman"/>
                <w:szCs w:val="24"/>
              </w:rPr>
              <w:t>以臺中市政府為例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建構公務人員訓練地圖之研究</w:t>
            </w:r>
          </w:p>
        </w:tc>
        <w:tc>
          <w:tcPr>
            <w:tcW w:w="1095"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汪慧芳</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廖珊妤</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尋找諸葛潛龍：從專業職能導向探討公務人員學習意願困境與訓練地圖的建構</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szCs w:val="24"/>
              </w:rPr>
              <w:t>以臺南市地政團隊推動「內部講師」計畫為例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建構公務人員訓練地圖之研究</w:t>
            </w:r>
          </w:p>
        </w:tc>
        <w:tc>
          <w:tcPr>
            <w:tcW w:w="1095"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柯岱育</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陳怡璉</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人事業務資訊化之研究</w:t>
            </w:r>
            <w:r w:rsidRPr="000665C3">
              <w:rPr>
                <w:rFonts w:ascii="Times New Roman" w:eastAsia="標楷體" w:hAnsi="Times New Roman" w:cs="Times New Roman"/>
                <w:szCs w:val="24"/>
              </w:rPr>
              <w:t>—</w:t>
            </w:r>
            <w:r w:rsidRPr="000665C3">
              <w:rPr>
                <w:rFonts w:ascii="Times New Roman" w:eastAsia="標楷體" w:hAnsi="Times New Roman" w:cs="Times New Roman"/>
                <w:szCs w:val="24"/>
              </w:rPr>
              <w:t>以行政院海岸巡防署志願士兵招募行銷業務為例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人事業務資訊化之研究</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鍾邦協</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政府人力資源管理資訊系統運作機制之探討</w:t>
            </w:r>
            <w:r>
              <w:rPr>
                <w:rFonts w:ascii="Times New Roman" w:eastAsia="標楷體" w:hAnsi="Times New Roman" w:cs="Times New Roman"/>
                <w:szCs w:val="24"/>
              </w:rPr>
              <w:t>—</w:t>
            </w:r>
            <w:r w:rsidRPr="000665C3">
              <w:rPr>
                <w:rFonts w:ascii="Times New Roman" w:eastAsia="標楷體" w:hAnsi="Times New Roman" w:cs="Times New Roman"/>
                <w:szCs w:val="24"/>
              </w:rPr>
              <w:t>以員額管理為例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人事業務資訊化之研究</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趙小瑩</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落實人本關懷，貫徹員工協助</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羅金燕</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公部門實施員工協助方案、績效管理與幸福感關係之研究</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以桃園市政府所屬人事人員為例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歐姿秀</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世代因素與公務人員壓力關聯性之實證研究</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陳韻安</w:t>
            </w:r>
          </w:p>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張雅閔</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廖儷璘</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Pr>
                <w:rFonts w:ascii="Times New Roman" w:eastAsia="標楷體" w:hAnsi="Times New Roman" w:cs="Times New Roman"/>
                <w:color w:val="000000"/>
                <w:szCs w:val="24"/>
              </w:rPr>
              <w:t>如何落實公部門績效管理</w:t>
            </w:r>
            <w:r>
              <w:rPr>
                <w:rFonts w:ascii="Times New Roman" w:eastAsia="標楷體" w:hAnsi="Times New Roman" w:cs="Times New Roman" w:hint="eastAsia"/>
                <w:color w:val="000000"/>
                <w:szCs w:val="24"/>
              </w:rPr>
              <w:t>─</w:t>
            </w:r>
            <w:r w:rsidRPr="000665C3">
              <w:rPr>
                <w:rFonts w:ascii="Times New Roman" w:eastAsia="標楷體" w:hAnsi="Times New Roman" w:cs="Times New Roman"/>
                <w:color w:val="000000"/>
                <w:szCs w:val="24"/>
              </w:rPr>
              <w:t>以新北市政府衛生局為例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如何落實公部門績效管理</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林光榮</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lastRenderedPageBreak/>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公部門團體績效評估與管理之研究</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如何落實公部門績效管理</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謝依霖</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公務人員個別性獎金之功能性與法制基礎之研究</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以中央行政機關為例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公務人員法定給與以外其他給與革新方案之研究</w:t>
            </w:r>
          </w:p>
        </w:tc>
        <w:tc>
          <w:tcPr>
            <w:tcW w:w="1095"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陳亭君</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陳怡君</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以公民導向翻轉組織績效</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如何落實公部門績效管理</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張呈祥</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以績效待遇原則探討現行公務人員獎金制度之研究</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szCs w:val="24"/>
              </w:rPr>
              <w:t>以嘉義縣鄉鎮市公所工程獎金發給為例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公務人員法定給與以外其他給與革新方案之研究</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陳芳鈺</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推動公部門員工協助方案</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以國立臺灣大學醫學院附設醫院為例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陳佩君</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員工協助方案對工作滿足與主觀幸福感關係之研究</w:t>
            </w:r>
            <w:r>
              <w:rPr>
                <w:rFonts w:ascii="Times New Roman" w:eastAsia="標楷體" w:hAnsi="Times New Roman" w:cs="Times New Roman"/>
                <w:szCs w:val="24"/>
              </w:rPr>
              <w:t>—</w:t>
            </w:r>
            <w:r w:rsidRPr="000665C3">
              <w:rPr>
                <w:rFonts w:ascii="Times New Roman" w:eastAsia="標楷體" w:hAnsi="Times New Roman" w:cs="Times New Roman"/>
                <w:szCs w:val="24"/>
              </w:rPr>
              <w:t>以衛生福利部朴子醫院為例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侯淑華</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r>
              <w:rPr>
                <w:rFonts w:ascii="Times New Roman" w:eastAsia="標楷體" w:hAnsi="Times New Roman" w:cs="Times New Roman" w:hint="eastAsia"/>
                <w:color w:val="000000"/>
                <w:szCs w:val="24"/>
              </w:rPr>
              <w:t>─</w:t>
            </w:r>
            <w:r w:rsidRPr="000665C3">
              <w:rPr>
                <w:rFonts w:ascii="Times New Roman" w:eastAsia="標楷體" w:hAnsi="Times New Roman" w:cs="Times New Roman"/>
                <w:color w:val="000000"/>
                <w:szCs w:val="24"/>
              </w:rPr>
              <w:t>探討臺北市政府員工協助方案之實施</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李宜穎</w:t>
            </w:r>
          </w:p>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陶品岑</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林映如</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臺北市政府推動員工協助方案之探討</w:t>
            </w:r>
            <w:r w:rsidRPr="000665C3">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員工滿意度與需求分析</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郭惠娥</w:t>
            </w:r>
          </w:p>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陳奕璇</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湯若妍</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領導風格與工作壓力關聯性之研究</w:t>
            </w:r>
            <w:r>
              <w:rPr>
                <w:rFonts w:ascii="Times New Roman" w:eastAsia="標楷體" w:hAnsi="Times New Roman" w:cs="Times New Roman"/>
                <w:szCs w:val="24"/>
              </w:rPr>
              <w:t>—</w:t>
            </w:r>
            <w:r w:rsidRPr="000665C3">
              <w:rPr>
                <w:rFonts w:ascii="Times New Roman" w:eastAsia="標楷體" w:hAnsi="Times New Roman" w:cs="Times New Roman"/>
                <w:szCs w:val="24"/>
              </w:rPr>
              <w:t>以員工協助方案為調節變項</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落實人本關懷，貫徹員工協助</w:t>
            </w:r>
          </w:p>
        </w:tc>
        <w:tc>
          <w:tcPr>
            <w:tcW w:w="1095"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孫晶旻</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邱琇雪</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公部門應用事後定向的績效評估方式與績效管理的發展性功能之探討</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如何落實公部門績效管理</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呂佳勳</w:t>
            </w:r>
          </w:p>
        </w:tc>
      </w:tr>
      <w:tr w:rsidR="004451D4" w:rsidRPr="00D8097F" w:rsidTr="004451D4">
        <w:trPr>
          <w:trHeight w:val="1077"/>
          <w:jc w:val="center"/>
        </w:trPr>
        <w:tc>
          <w:tcPr>
            <w:tcW w:w="475"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21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人事業務資訊化之研究</w:t>
            </w:r>
            <w:r>
              <w:rPr>
                <w:rFonts w:ascii="Times New Roman" w:eastAsia="標楷體" w:hAnsi="Times New Roman" w:cs="Times New Roman"/>
                <w:szCs w:val="24"/>
              </w:rPr>
              <w:t>—</w:t>
            </w:r>
            <w:r w:rsidRPr="000665C3">
              <w:rPr>
                <w:rFonts w:ascii="Times New Roman" w:eastAsia="標楷體" w:hAnsi="Times New Roman" w:cs="Times New Roman"/>
                <w:szCs w:val="24"/>
              </w:rPr>
              <w:t>以臺中市教師敘薪為例</w:t>
            </w:r>
          </w:p>
        </w:tc>
        <w:tc>
          <w:tcPr>
            <w:tcW w:w="1842"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人事業務資訊化之研究</w:t>
            </w:r>
          </w:p>
        </w:tc>
        <w:tc>
          <w:tcPr>
            <w:tcW w:w="1095"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游淑琴</w:t>
            </w:r>
          </w:p>
        </w:tc>
      </w:tr>
    </w:tbl>
    <w:p w:rsidR="000665C3" w:rsidRDefault="000665C3">
      <w:pPr>
        <w:widowControl/>
        <w:rPr>
          <w:rFonts w:ascii="標楷體" w:eastAsia="標楷體" w:hAnsi="標楷體"/>
          <w:b/>
          <w:sz w:val="28"/>
          <w:szCs w:val="28"/>
        </w:rPr>
      </w:pPr>
      <w:r>
        <w:rPr>
          <w:rFonts w:ascii="標楷體" w:eastAsia="標楷體" w:hAnsi="標楷體"/>
          <w:b/>
          <w:sz w:val="28"/>
          <w:szCs w:val="28"/>
        </w:rPr>
        <w:br w:type="page"/>
      </w:r>
    </w:p>
    <w:p w:rsidR="00936D86" w:rsidRPr="009C57F4" w:rsidRDefault="009C57F4" w:rsidP="002D4DFD">
      <w:pPr>
        <w:spacing w:before="100" w:beforeAutospacing="1"/>
        <w:rPr>
          <w:rFonts w:ascii="標楷體" w:eastAsia="標楷體" w:hAnsi="標楷體"/>
          <w:b/>
          <w:sz w:val="28"/>
          <w:szCs w:val="28"/>
        </w:rPr>
      </w:pPr>
      <w:r w:rsidRPr="009C57F4">
        <w:rPr>
          <w:rFonts w:ascii="標楷體" w:eastAsia="標楷體" w:hAnsi="標楷體" w:hint="eastAsia"/>
          <w:b/>
          <w:sz w:val="28"/>
          <w:szCs w:val="28"/>
        </w:rPr>
        <w:lastRenderedPageBreak/>
        <w:t>二、自選主題組（</w:t>
      </w:r>
      <w:r w:rsidR="004325C9">
        <w:rPr>
          <w:rFonts w:ascii="Times New Roman" w:eastAsia="標楷體" w:hAnsi="Times New Roman" w:cs="Times New Roman" w:hint="eastAsia"/>
          <w:b/>
          <w:sz w:val="28"/>
          <w:szCs w:val="28"/>
        </w:rPr>
        <w:t>24</w:t>
      </w:r>
      <w:r w:rsidRPr="009C57F4">
        <w:rPr>
          <w:rFonts w:ascii="標楷體" w:eastAsia="標楷體" w:hAnsi="標楷體" w:hint="eastAsia"/>
          <w:b/>
          <w:sz w:val="28"/>
          <w:szCs w:val="28"/>
        </w:rPr>
        <w:t>篇）：</w:t>
      </w:r>
    </w:p>
    <w:tbl>
      <w:tblPr>
        <w:tblW w:w="8647" w:type="dxa"/>
        <w:tblInd w:w="-104" w:type="dxa"/>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CellMar>
          <w:left w:w="28" w:type="dxa"/>
          <w:right w:w="28" w:type="dxa"/>
        </w:tblCellMar>
        <w:tblLook w:val="04A0"/>
      </w:tblPr>
      <w:tblGrid>
        <w:gridCol w:w="426"/>
        <w:gridCol w:w="5953"/>
        <w:gridCol w:w="1134"/>
        <w:gridCol w:w="1134"/>
      </w:tblGrid>
      <w:tr w:rsidR="004451D4" w:rsidRPr="000665C3" w:rsidTr="004451D4">
        <w:trPr>
          <w:tblHeader/>
        </w:trPr>
        <w:tc>
          <w:tcPr>
            <w:tcW w:w="426" w:type="dxa"/>
            <w:shd w:val="clear" w:color="auto" w:fill="B2B2B2"/>
            <w:vAlign w:val="center"/>
            <w:hideMark/>
          </w:tcPr>
          <w:p w:rsidR="004451D4" w:rsidRPr="000665C3" w:rsidRDefault="004451D4" w:rsidP="000665C3">
            <w:pPr>
              <w:widowControl/>
              <w:spacing w:line="300" w:lineRule="exact"/>
              <w:jc w:val="center"/>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等次</w:t>
            </w:r>
          </w:p>
        </w:tc>
        <w:tc>
          <w:tcPr>
            <w:tcW w:w="5953" w:type="dxa"/>
            <w:shd w:val="clear" w:color="auto" w:fill="B2B2B2"/>
            <w:vAlign w:val="center"/>
            <w:hideMark/>
          </w:tcPr>
          <w:p w:rsidR="004451D4" w:rsidRPr="000665C3" w:rsidRDefault="004451D4" w:rsidP="00E557C1">
            <w:pPr>
              <w:widowControl/>
              <w:spacing w:line="300" w:lineRule="exact"/>
              <w:jc w:val="both"/>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作品名稱</w:t>
            </w:r>
          </w:p>
        </w:tc>
        <w:tc>
          <w:tcPr>
            <w:tcW w:w="1134" w:type="dxa"/>
            <w:shd w:val="clear" w:color="auto" w:fill="B2B2B2"/>
            <w:vAlign w:val="center"/>
            <w:hideMark/>
          </w:tcPr>
          <w:p w:rsidR="004451D4" w:rsidRPr="000665C3" w:rsidRDefault="004451D4" w:rsidP="00E557C1">
            <w:pPr>
              <w:widowControl/>
              <w:spacing w:line="300" w:lineRule="exact"/>
              <w:jc w:val="both"/>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類別</w:t>
            </w:r>
          </w:p>
        </w:tc>
        <w:tc>
          <w:tcPr>
            <w:tcW w:w="1134" w:type="dxa"/>
            <w:shd w:val="clear" w:color="auto" w:fill="B2B2B2"/>
            <w:vAlign w:val="center"/>
            <w:hideMark/>
          </w:tcPr>
          <w:p w:rsidR="004451D4" w:rsidRPr="000665C3" w:rsidRDefault="004451D4" w:rsidP="00E557C1">
            <w:pPr>
              <w:widowControl/>
              <w:spacing w:line="300" w:lineRule="exact"/>
              <w:jc w:val="center"/>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作者</w:t>
            </w:r>
          </w:p>
          <w:p w:rsidR="004451D4" w:rsidRPr="000665C3" w:rsidRDefault="004451D4" w:rsidP="00E557C1">
            <w:pPr>
              <w:widowControl/>
              <w:spacing w:line="300" w:lineRule="exact"/>
              <w:jc w:val="center"/>
              <w:rPr>
                <w:rFonts w:ascii="Times New Roman" w:eastAsia="標楷體" w:hAnsi="Times New Roman" w:cs="Times New Roman"/>
                <w:color w:val="000000"/>
                <w:kern w:val="0"/>
                <w:szCs w:val="24"/>
              </w:rPr>
            </w:pPr>
            <w:r w:rsidRPr="000665C3">
              <w:rPr>
                <w:rFonts w:ascii="Times New Roman" w:eastAsia="標楷體" w:hAnsi="Times New Roman" w:cs="Times New Roman"/>
                <w:color w:val="000000"/>
                <w:kern w:val="0"/>
                <w:szCs w:val="24"/>
              </w:rPr>
              <w:t>姓名</w:t>
            </w:r>
          </w:p>
        </w:tc>
      </w:tr>
      <w:tr w:rsidR="004451D4" w:rsidRPr="000665C3" w:rsidTr="004451D4">
        <w:trPr>
          <w:trHeight w:val="1247"/>
        </w:trPr>
        <w:tc>
          <w:tcPr>
            <w:tcW w:w="426"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優等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公務人員專業加給評價指標初探</w:t>
            </w:r>
            <w:r>
              <w:rPr>
                <w:rFonts w:ascii="Times New Roman" w:eastAsia="標楷體" w:hAnsi="Times New Roman" w:cs="Times New Roman" w:hint="eastAsia"/>
                <w:color w:val="000000"/>
                <w:szCs w:val="24"/>
              </w:rPr>
              <w:t>─</w:t>
            </w:r>
            <w:r w:rsidRPr="000665C3">
              <w:rPr>
                <w:rFonts w:ascii="Times New Roman" w:eastAsia="標楷體" w:hAnsi="Times New Roman" w:cs="Times New Roman"/>
                <w:color w:val="000000"/>
                <w:szCs w:val="24"/>
              </w:rPr>
              <w:t>以輔助單位人員為例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待遇福利</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顏韶儀</w:t>
            </w:r>
            <w:r w:rsidRPr="000665C3">
              <w:rPr>
                <w:rFonts w:ascii="Times New Roman" w:eastAsia="標楷體" w:hAnsi="Times New Roman" w:cs="Times New Roman"/>
                <w:color w:val="000000"/>
                <w:szCs w:val="24"/>
              </w:rPr>
              <w:t xml:space="preserve"> </w:t>
            </w:r>
            <w:r w:rsidRPr="000665C3">
              <w:rPr>
                <w:rFonts w:ascii="Times New Roman" w:eastAsia="標楷體" w:hAnsi="Times New Roman" w:cs="Times New Roman"/>
                <w:color w:val="000000"/>
                <w:szCs w:val="24"/>
              </w:rPr>
              <w:t>呂威毅</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甲等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土木工程人員人事管理問題之分析</w:t>
            </w:r>
            <w:r w:rsidRPr="000665C3">
              <w:rPr>
                <w:rFonts w:ascii="Times New Roman" w:eastAsia="標楷體" w:hAnsi="Times New Roman" w:cs="Times New Roman"/>
                <w:szCs w:val="24"/>
              </w:rPr>
              <w:t>—</w:t>
            </w:r>
            <w:r w:rsidRPr="000665C3">
              <w:rPr>
                <w:rFonts w:ascii="Times New Roman" w:eastAsia="標楷體" w:hAnsi="Times New Roman" w:cs="Times New Roman"/>
                <w:szCs w:val="24"/>
              </w:rPr>
              <w:t>核心能力的觀點</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人事管理</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莊美鳳</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老有所用：我國公部門延後退休與再就業之芻議</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人事法制</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劉嘉如</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我國差勤管理制度之精進</w:t>
            </w:r>
            <w:r w:rsidRPr="000665C3">
              <w:rPr>
                <w:rFonts w:ascii="Times New Roman" w:eastAsia="標楷體" w:hAnsi="Times New Roman" w:cs="Times New Roman"/>
                <w:szCs w:val="24"/>
              </w:rPr>
              <w:t>—</w:t>
            </w:r>
            <w:r w:rsidRPr="000665C3">
              <w:rPr>
                <w:rFonts w:ascii="Times New Roman" w:eastAsia="標楷體" w:hAnsi="Times New Roman" w:cs="Times New Roman"/>
                <w:szCs w:val="24"/>
              </w:rPr>
              <w:t>以公部門彈性工時為例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服務差勤</w:t>
            </w:r>
          </w:p>
        </w:tc>
        <w:tc>
          <w:tcPr>
            <w:tcW w:w="1134"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郭芷廷</w:t>
            </w:r>
          </w:p>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劉晟民</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林青霞</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公營事業機構公務員兼具勞工身分者退休制度年金化意向評估之研究</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退撫保險</w:t>
            </w:r>
          </w:p>
        </w:tc>
        <w:tc>
          <w:tcPr>
            <w:tcW w:w="1134"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盧惠君</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楊雨凡</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公務人員訓練需求調查分析之研究</w:t>
            </w:r>
            <w:r>
              <w:rPr>
                <w:rFonts w:ascii="Times New Roman" w:eastAsia="標楷體" w:hAnsi="Times New Roman" w:cs="Times New Roman"/>
                <w:szCs w:val="24"/>
              </w:rPr>
              <w:t>—</w:t>
            </w:r>
            <w:r w:rsidRPr="000665C3">
              <w:rPr>
                <w:rFonts w:ascii="Times New Roman" w:eastAsia="標楷體" w:hAnsi="Times New Roman" w:cs="Times New Roman"/>
                <w:szCs w:val="24"/>
              </w:rPr>
              <w:t>以委任公務人員晉升薦任官等訓練為例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訓練進修</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陳昀孜</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公部門治理本質：由新公共服務觀點建構公務人員行政倫理價值</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人事法制</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李昱端</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高雄市女性員警於工作職場上遭受性騷擾之現況研究</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考核獎懲</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陳郁青</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論公務人員特種考試原住民族考試分發任用情形</w:t>
            </w:r>
            <w:r>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以南投縣為例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考試分發</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田秀琴</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lastRenderedPageBreak/>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人格測驗之運用</w:t>
            </w:r>
            <w:r>
              <w:rPr>
                <w:rFonts w:ascii="Times New Roman" w:eastAsia="標楷體" w:hAnsi="Times New Roman" w:cs="Times New Roman"/>
                <w:szCs w:val="24"/>
              </w:rPr>
              <w:t>—</w:t>
            </w:r>
            <w:r w:rsidRPr="000665C3">
              <w:rPr>
                <w:rFonts w:ascii="Times New Roman" w:eastAsia="標楷體" w:hAnsi="Times New Roman" w:cs="Times New Roman"/>
                <w:szCs w:val="24"/>
              </w:rPr>
              <w:t>以臺中市政府文化局為例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任免遷調</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邱惠卿</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物聯網科技應用對人事人員推動創新管理影響之分析</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人事資訊</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林崇智</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乙等</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人事資訊客服中心服務品質及策略發展之研究</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人事資訊</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林哲正</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如何讓燙手山芋成為生力軍？臺南市政府透過組織社會化改善文官組織行為之研究</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訓練進修</w:t>
            </w:r>
          </w:p>
        </w:tc>
        <w:tc>
          <w:tcPr>
            <w:tcW w:w="1134"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張雅萍</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方雅青</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Pr>
                <w:rFonts w:ascii="Times New Roman" w:eastAsia="標楷體" w:hAnsi="Times New Roman" w:cs="Times New Roman"/>
                <w:szCs w:val="24"/>
              </w:rPr>
              <w:t>「維基」就是轉機</w:t>
            </w:r>
            <w:r>
              <w:rPr>
                <w:rFonts w:ascii="Times New Roman" w:eastAsia="標楷體" w:hAnsi="Times New Roman" w:cs="Times New Roman" w:hint="eastAsia"/>
                <w:szCs w:val="24"/>
              </w:rPr>
              <w:t>─</w:t>
            </w:r>
            <w:r w:rsidRPr="000665C3">
              <w:rPr>
                <w:rFonts w:ascii="Times New Roman" w:eastAsia="標楷體" w:hAnsi="Times New Roman" w:cs="Times New Roman"/>
                <w:szCs w:val="24"/>
              </w:rPr>
              <w:t>以臺南市政府教育局集體協作核「薪」方案為例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人事管理</w:t>
            </w:r>
          </w:p>
        </w:tc>
        <w:tc>
          <w:tcPr>
            <w:tcW w:w="1134"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石淳豪</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林佳蓉</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地方自治</w:t>
            </w:r>
            <w:r w:rsidRPr="000665C3">
              <w:rPr>
                <w:rFonts w:ascii="Times New Roman" w:eastAsia="標楷體" w:hAnsi="Times New Roman" w:cs="Times New Roman"/>
                <w:szCs w:val="24"/>
              </w:rPr>
              <w:t>v.s.</w:t>
            </w:r>
            <w:r w:rsidRPr="000665C3">
              <w:rPr>
                <w:rFonts w:ascii="Times New Roman" w:eastAsia="標楷體" w:hAnsi="Times New Roman" w:cs="Times New Roman"/>
                <w:szCs w:val="24"/>
              </w:rPr>
              <w:t>員額精實？試論縣市改制直轄市後之組織設計及人力配置</w:t>
            </w:r>
            <w:r>
              <w:rPr>
                <w:rFonts w:ascii="Times New Roman" w:eastAsia="標楷體" w:hAnsi="Times New Roman" w:cs="Times New Roman"/>
                <w:szCs w:val="24"/>
              </w:rPr>
              <w:t>—</w:t>
            </w:r>
            <w:r w:rsidRPr="000665C3">
              <w:rPr>
                <w:rFonts w:ascii="Times New Roman" w:eastAsia="標楷體" w:hAnsi="Times New Roman" w:cs="Times New Roman"/>
                <w:szCs w:val="24"/>
              </w:rPr>
              <w:t>以臺中市與臺南市為例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組織編制</w:t>
            </w:r>
          </w:p>
        </w:tc>
        <w:tc>
          <w:tcPr>
            <w:tcW w:w="1134"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陳素槿</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葉馨惠</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中央政府機關運用勞動派遣現況之探討</w:t>
            </w:r>
            <w:r>
              <w:rPr>
                <w:rFonts w:ascii="Times New Roman" w:eastAsia="標楷體" w:hAnsi="Times New Roman" w:cs="Times New Roman" w:hint="eastAsia"/>
                <w:szCs w:val="24"/>
              </w:rPr>
              <w:t>─</w:t>
            </w:r>
            <w:r w:rsidRPr="000665C3">
              <w:rPr>
                <w:rFonts w:ascii="Times New Roman" w:eastAsia="標楷體" w:hAnsi="Times New Roman" w:cs="Times New Roman"/>
                <w:szCs w:val="24"/>
              </w:rPr>
              <w:t>兼論派遣勞工薪資與勞務採購之關係</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組織編制</w:t>
            </w:r>
          </w:p>
        </w:tc>
        <w:tc>
          <w:tcPr>
            <w:tcW w:w="1134" w:type="dxa"/>
            <w:shd w:val="clear" w:color="auto" w:fill="auto"/>
            <w:vAlign w:val="center"/>
          </w:tcPr>
          <w:p w:rsidR="004451D4"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黃繹修</w:t>
            </w:r>
          </w:p>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方暐婷</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99</w:t>
            </w:r>
            <w:r w:rsidRPr="000665C3">
              <w:rPr>
                <w:rFonts w:ascii="Times New Roman" w:eastAsia="標楷體" w:hAnsi="Times New Roman" w:cs="Times New Roman"/>
                <w:color w:val="000000"/>
                <w:szCs w:val="24"/>
              </w:rPr>
              <w:t>年至</w:t>
            </w:r>
            <w:r w:rsidRPr="000665C3">
              <w:rPr>
                <w:rFonts w:ascii="Times New Roman" w:eastAsia="標楷體" w:hAnsi="Times New Roman" w:cs="Times New Roman"/>
                <w:color w:val="000000"/>
                <w:szCs w:val="24"/>
              </w:rPr>
              <w:t>103</w:t>
            </w:r>
            <w:r w:rsidRPr="000665C3">
              <w:rPr>
                <w:rFonts w:ascii="Times New Roman" w:eastAsia="標楷體" w:hAnsi="Times New Roman" w:cs="Times New Roman"/>
                <w:color w:val="000000"/>
                <w:szCs w:val="24"/>
              </w:rPr>
              <w:t>年行政院辦理因公殘廢死亡慰問金案件研析及相關法制芻議</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待遇福利</w:t>
            </w:r>
          </w:p>
        </w:tc>
        <w:tc>
          <w:tcPr>
            <w:tcW w:w="1134"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李懿如</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賴玫蒨</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公務人員考績法草案丙等制度之探討</w:t>
            </w:r>
            <w:r>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合憲性及保障救濟觀點</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考核獎懲</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廖珮雯</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虛擬知識社群對公部門工作績效之影響</w:t>
            </w:r>
            <w:r>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以桃園市政府地政局為例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人事管理</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鄭玉嬌</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lastRenderedPageBreak/>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社區家防官工作壓力、專業能力與工作滿意度關聯調查之研究</w:t>
            </w:r>
            <w:r>
              <w:rPr>
                <w:rFonts w:ascii="Times New Roman" w:eastAsia="標楷體" w:hAnsi="Times New Roman" w:cs="Times New Roman" w:hint="eastAsia"/>
                <w:szCs w:val="24"/>
              </w:rPr>
              <w:t>─</w:t>
            </w:r>
            <w:r w:rsidRPr="000665C3">
              <w:rPr>
                <w:rFonts w:ascii="Times New Roman" w:eastAsia="標楷體" w:hAnsi="Times New Roman" w:cs="Times New Roman"/>
                <w:color w:val="000000"/>
                <w:szCs w:val="24"/>
              </w:rPr>
              <w:t>以臺北市政府警察局為例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人事管理</w:t>
            </w:r>
          </w:p>
        </w:tc>
        <w:tc>
          <w:tcPr>
            <w:tcW w:w="1134"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呂榮宸</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林烜慧</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主管領導風格與部屬公平知覺之關聯性</w:t>
            </w:r>
            <w:r>
              <w:rPr>
                <w:rFonts w:ascii="Times New Roman" w:eastAsia="標楷體" w:hAnsi="Times New Roman" w:cs="Times New Roman" w:hint="eastAsia"/>
                <w:szCs w:val="24"/>
              </w:rPr>
              <w:t>─</w:t>
            </w:r>
            <w:r w:rsidRPr="000665C3">
              <w:rPr>
                <w:rFonts w:ascii="Times New Roman" w:eastAsia="標楷體" w:hAnsi="Times New Roman" w:cs="Times New Roman"/>
                <w:color w:val="000000"/>
                <w:szCs w:val="24"/>
              </w:rPr>
              <w:t>對考績面談成效之影響</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考核獎懲</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盧姚伶</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從系統觀點探討人事服務創新策略之運用</w:t>
            </w:r>
            <w:r>
              <w:rPr>
                <w:rFonts w:ascii="Times New Roman" w:eastAsia="標楷體" w:hAnsi="Times New Roman" w:cs="Times New Roman"/>
                <w:color w:val="000000"/>
                <w:szCs w:val="24"/>
              </w:rPr>
              <w:t>—</w:t>
            </w:r>
            <w:r w:rsidRPr="000665C3">
              <w:rPr>
                <w:rFonts w:ascii="Times New Roman" w:eastAsia="標楷體" w:hAnsi="Times New Roman" w:cs="Times New Roman"/>
                <w:color w:val="000000"/>
                <w:szCs w:val="24"/>
              </w:rPr>
              <w:t>以彰化縣政府所屬人事機構九宮格創新策略平台為例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人事管理</w:t>
            </w:r>
          </w:p>
        </w:tc>
        <w:tc>
          <w:tcPr>
            <w:tcW w:w="1134"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張彩珠</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高上富</w:t>
            </w:r>
          </w:p>
        </w:tc>
      </w:tr>
      <w:tr w:rsidR="004451D4" w:rsidRPr="000665C3" w:rsidTr="004451D4">
        <w:trPr>
          <w:trHeight w:val="1247"/>
        </w:trPr>
        <w:tc>
          <w:tcPr>
            <w:tcW w:w="426" w:type="dxa"/>
            <w:shd w:val="clear" w:color="auto" w:fill="auto"/>
            <w:vAlign w:val="center"/>
          </w:tcPr>
          <w:p w:rsidR="004451D4" w:rsidRPr="000665C3" w:rsidRDefault="004451D4" w:rsidP="000665C3">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佳作</w:t>
            </w:r>
            <w:r>
              <w:rPr>
                <w:rFonts w:ascii="Times New Roman" w:eastAsia="標楷體" w:hAnsi="Times New Roman" w:cs="Times New Roman" w:hint="eastAsia"/>
                <w:color w:val="000000"/>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公務員待遇與全國薪資水平之相關性探討</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待遇福利</w:t>
            </w:r>
          </w:p>
        </w:tc>
        <w:tc>
          <w:tcPr>
            <w:tcW w:w="1134" w:type="dxa"/>
            <w:shd w:val="clear" w:color="auto" w:fill="auto"/>
            <w:vAlign w:val="center"/>
          </w:tcPr>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簡信明</w:t>
            </w:r>
          </w:p>
          <w:p w:rsidR="004451D4"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林貴榮</w:t>
            </w:r>
          </w:p>
          <w:p w:rsidR="004451D4" w:rsidRPr="000665C3" w:rsidRDefault="004451D4" w:rsidP="00E557C1">
            <w:pPr>
              <w:jc w:val="center"/>
              <w:rPr>
                <w:rFonts w:ascii="Times New Roman" w:eastAsia="標楷體" w:hAnsi="Times New Roman" w:cs="Times New Roman"/>
                <w:color w:val="000000"/>
                <w:szCs w:val="24"/>
              </w:rPr>
            </w:pPr>
            <w:r w:rsidRPr="000665C3">
              <w:rPr>
                <w:rFonts w:ascii="Times New Roman" w:eastAsia="標楷體" w:hAnsi="Times New Roman" w:cs="Times New Roman"/>
                <w:color w:val="000000"/>
                <w:szCs w:val="24"/>
              </w:rPr>
              <w:t>張晉元</w:t>
            </w:r>
          </w:p>
        </w:tc>
      </w:tr>
      <w:tr w:rsidR="004451D4" w:rsidRPr="000665C3" w:rsidTr="004451D4">
        <w:trPr>
          <w:trHeight w:val="1247"/>
        </w:trPr>
        <w:tc>
          <w:tcPr>
            <w:tcW w:w="426"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佳作</w:t>
            </w:r>
            <w:r>
              <w:rPr>
                <w:rFonts w:ascii="Times New Roman" w:eastAsia="標楷體" w:hAnsi="Times New Roman" w:cs="Times New Roman" w:hint="eastAsia"/>
                <w:szCs w:val="24"/>
              </w:rPr>
              <w:t>獎</w:t>
            </w:r>
          </w:p>
        </w:tc>
        <w:tc>
          <w:tcPr>
            <w:tcW w:w="5953"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服務創新學習成效評估</w:t>
            </w:r>
            <w:r>
              <w:rPr>
                <w:rFonts w:ascii="Times New Roman" w:eastAsia="標楷體" w:hAnsi="Times New Roman" w:cs="Times New Roman"/>
                <w:szCs w:val="24"/>
              </w:rPr>
              <w:t>—</w:t>
            </w:r>
            <w:r w:rsidRPr="000665C3">
              <w:rPr>
                <w:rFonts w:ascii="Times New Roman" w:eastAsia="標楷體" w:hAnsi="Times New Roman" w:cs="Times New Roman"/>
                <w:szCs w:val="24"/>
              </w:rPr>
              <w:t>以地方政府電話全階服務為例</w:t>
            </w:r>
          </w:p>
        </w:tc>
        <w:tc>
          <w:tcPr>
            <w:tcW w:w="1134" w:type="dxa"/>
            <w:shd w:val="clear" w:color="auto" w:fill="auto"/>
            <w:vAlign w:val="center"/>
          </w:tcPr>
          <w:p w:rsidR="004451D4" w:rsidRPr="000665C3" w:rsidRDefault="004451D4" w:rsidP="00E557C1">
            <w:pPr>
              <w:jc w:val="both"/>
              <w:rPr>
                <w:rFonts w:ascii="Times New Roman" w:eastAsia="標楷體" w:hAnsi="Times New Roman" w:cs="Times New Roman"/>
                <w:szCs w:val="24"/>
              </w:rPr>
            </w:pPr>
            <w:r w:rsidRPr="000665C3">
              <w:rPr>
                <w:rFonts w:ascii="Times New Roman" w:eastAsia="標楷體" w:hAnsi="Times New Roman" w:cs="Times New Roman"/>
                <w:szCs w:val="24"/>
              </w:rPr>
              <w:t>訓練進修</w:t>
            </w:r>
          </w:p>
        </w:tc>
        <w:tc>
          <w:tcPr>
            <w:tcW w:w="1134" w:type="dxa"/>
            <w:shd w:val="clear" w:color="auto" w:fill="auto"/>
            <w:vAlign w:val="center"/>
          </w:tcPr>
          <w:p w:rsidR="004451D4" w:rsidRPr="000665C3" w:rsidRDefault="004451D4" w:rsidP="00E557C1">
            <w:pPr>
              <w:jc w:val="center"/>
              <w:rPr>
                <w:rFonts w:ascii="Times New Roman" w:eastAsia="標楷體" w:hAnsi="Times New Roman" w:cs="Times New Roman"/>
                <w:szCs w:val="24"/>
              </w:rPr>
            </w:pPr>
            <w:r w:rsidRPr="000665C3">
              <w:rPr>
                <w:rFonts w:ascii="Times New Roman" w:eastAsia="標楷體" w:hAnsi="Times New Roman" w:cs="Times New Roman"/>
                <w:szCs w:val="24"/>
              </w:rPr>
              <w:t>吳振昆</w:t>
            </w:r>
          </w:p>
        </w:tc>
      </w:tr>
    </w:tbl>
    <w:p w:rsidR="009C57F4" w:rsidRPr="000665C3" w:rsidRDefault="009C57F4">
      <w:pPr>
        <w:rPr>
          <w:rFonts w:ascii="Times New Roman" w:eastAsia="標楷體" w:hAnsi="Times New Roman" w:cs="Times New Roman"/>
          <w:szCs w:val="24"/>
        </w:rPr>
      </w:pPr>
    </w:p>
    <w:sectPr w:rsidR="009C57F4" w:rsidRPr="000665C3" w:rsidSect="00A90E0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F39" w:rsidRDefault="00E54F39" w:rsidP="00004E6F">
      <w:r>
        <w:separator/>
      </w:r>
    </w:p>
  </w:endnote>
  <w:endnote w:type="continuationSeparator" w:id="0">
    <w:p w:rsidR="00E54F39" w:rsidRDefault="00E54F39" w:rsidP="00004E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197731"/>
      <w:docPartObj>
        <w:docPartGallery w:val="Page Numbers (Bottom of Page)"/>
        <w:docPartUnique/>
      </w:docPartObj>
    </w:sdtPr>
    <w:sdtEndPr>
      <w:rPr>
        <w:rFonts w:ascii="Times New Roman" w:hAnsi="Times New Roman" w:cs="Times New Roman"/>
      </w:rPr>
    </w:sdtEndPr>
    <w:sdtContent>
      <w:p w:rsidR="00B603FE" w:rsidRPr="00004E6F" w:rsidRDefault="00A90E00">
        <w:pPr>
          <w:pStyle w:val="a5"/>
          <w:jc w:val="center"/>
          <w:rPr>
            <w:rFonts w:ascii="Times New Roman" w:hAnsi="Times New Roman" w:cs="Times New Roman"/>
          </w:rPr>
        </w:pPr>
        <w:r w:rsidRPr="00004E6F">
          <w:rPr>
            <w:rFonts w:ascii="Times New Roman" w:hAnsi="Times New Roman" w:cs="Times New Roman"/>
          </w:rPr>
          <w:fldChar w:fldCharType="begin"/>
        </w:r>
        <w:r w:rsidR="00B603FE" w:rsidRPr="00004E6F">
          <w:rPr>
            <w:rFonts w:ascii="Times New Roman" w:hAnsi="Times New Roman" w:cs="Times New Roman"/>
          </w:rPr>
          <w:instrText>PAGE   \* MERGEFORMAT</w:instrText>
        </w:r>
        <w:r w:rsidRPr="00004E6F">
          <w:rPr>
            <w:rFonts w:ascii="Times New Roman" w:hAnsi="Times New Roman" w:cs="Times New Roman"/>
          </w:rPr>
          <w:fldChar w:fldCharType="separate"/>
        </w:r>
        <w:r w:rsidR="001E2CFF" w:rsidRPr="001E2CFF">
          <w:rPr>
            <w:rFonts w:ascii="Times New Roman" w:hAnsi="Times New Roman" w:cs="Times New Roman"/>
            <w:noProof/>
            <w:lang w:val="zh-TW"/>
          </w:rPr>
          <w:t>5</w:t>
        </w:r>
        <w:r w:rsidRPr="00004E6F">
          <w:rPr>
            <w:rFonts w:ascii="Times New Roman" w:hAnsi="Times New Roman" w:cs="Times New Roman"/>
          </w:rPr>
          <w:fldChar w:fldCharType="end"/>
        </w:r>
      </w:p>
    </w:sdtContent>
  </w:sdt>
  <w:p w:rsidR="00B603FE" w:rsidRDefault="00B603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F39" w:rsidRDefault="00E54F39" w:rsidP="00004E6F">
      <w:r>
        <w:separator/>
      </w:r>
    </w:p>
  </w:footnote>
  <w:footnote w:type="continuationSeparator" w:id="0">
    <w:p w:rsidR="00E54F39" w:rsidRDefault="00E54F39" w:rsidP="00004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97F"/>
    <w:rsid w:val="00004E6F"/>
    <w:rsid w:val="000665C3"/>
    <w:rsid w:val="000C00E2"/>
    <w:rsid w:val="00101087"/>
    <w:rsid w:val="0011001F"/>
    <w:rsid w:val="0015366B"/>
    <w:rsid w:val="00167E80"/>
    <w:rsid w:val="001E2CFF"/>
    <w:rsid w:val="00202C39"/>
    <w:rsid w:val="002A3C3E"/>
    <w:rsid w:val="002D4DFD"/>
    <w:rsid w:val="00345FAB"/>
    <w:rsid w:val="003862F6"/>
    <w:rsid w:val="003905B6"/>
    <w:rsid w:val="003C2640"/>
    <w:rsid w:val="00405449"/>
    <w:rsid w:val="004325C9"/>
    <w:rsid w:val="004451D4"/>
    <w:rsid w:val="004A7068"/>
    <w:rsid w:val="004C1513"/>
    <w:rsid w:val="004F4BE8"/>
    <w:rsid w:val="00500060"/>
    <w:rsid w:val="0050339F"/>
    <w:rsid w:val="005B7411"/>
    <w:rsid w:val="00614E9E"/>
    <w:rsid w:val="00630BAF"/>
    <w:rsid w:val="00631DE1"/>
    <w:rsid w:val="0065667F"/>
    <w:rsid w:val="006B351C"/>
    <w:rsid w:val="006C4706"/>
    <w:rsid w:val="006C7A7E"/>
    <w:rsid w:val="006D0911"/>
    <w:rsid w:val="006E4E14"/>
    <w:rsid w:val="007148B6"/>
    <w:rsid w:val="007B3C23"/>
    <w:rsid w:val="007C39AC"/>
    <w:rsid w:val="007D6989"/>
    <w:rsid w:val="0082341C"/>
    <w:rsid w:val="00833959"/>
    <w:rsid w:val="00844BDE"/>
    <w:rsid w:val="00886190"/>
    <w:rsid w:val="00936D86"/>
    <w:rsid w:val="00937BD9"/>
    <w:rsid w:val="00955AA4"/>
    <w:rsid w:val="00996D59"/>
    <w:rsid w:val="009C0505"/>
    <w:rsid w:val="009C57F4"/>
    <w:rsid w:val="009F3323"/>
    <w:rsid w:val="00A26E40"/>
    <w:rsid w:val="00A53F62"/>
    <w:rsid w:val="00A90E00"/>
    <w:rsid w:val="00B44F3A"/>
    <w:rsid w:val="00B504C5"/>
    <w:rsid w:val="00B603FE"/>
    <w:rsid w:val="00B63394"/>
    <w:rsid w:val="00B767F6"/>
    <w:rsid w:val="00BB550E"/>
    <w:rsid w:val="00BF739E"/>
    <w:rsid w:val="00C2563A"/>
    <w:rsid w:val="00C53713"/>
    <w:rsid w:val="00CC0A93"/>
    <w:rsid w:val="00CC224F"/>
    <w:rsid w:val="00CC24DA"/>
    <w:rsid w:val="00CD2ACA"/>
    <w:rsid w:val="00D1004C"/>
    <w:rsid w:val="00D12D20"/>
    <w:rsid w:val="00D27519"/>
    <w:rsid w:val="00D63325"/>
    <w:rsid w:val="00D66BC0"/>
    <w:rsid w:val="00D8097F"/>
    <w:rsid w:val="00DC37B5"/>
    <w:rsid w:val="00E13BCC"/>
    <w:rsid w:val="00E54F39"/>
    <w:rsid w:val="00E557C1"/>
    <w:rsid w:val="00E778C9"/>
    <w:rsid w:val="00F12570"/>
    <w:rsid w:val="00F41D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E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E6F"/>
    <w:pPr>
      <w:tabs>
        <w:tab w:val="center" w:pos="4153"/>
        <w:tab w:val="right" w:pos="8306"/>
      </w:tabs>
      <w:snapToGrid w:val="0"/>
    </w:pPr>
    <w:rPr>
      <w:sz w:val="20"/>
      <w:szCs w:val="20"/>
    </w:rPr>
  </w:style>
  <w:style w:type="character" w:customStyle="1" w:styleId="a4">
    <w:name w:val="頁首 字元"/>
    <w:basedOn w:val="a0"/>
    <w:link w:val="a3"/>
    <w:uiPriority w:val="99"/>
    <w:rsid w:val="00004E6F"/>
    <w:rPr>
      <w:sz w:val="20"/>
      <w:szCs w:val="20"/>
    </w:rPr>
  </w:style>
  <w:style w:type="paragraph" w:styleId="a5">
    <w:name w:val="footer"/>
    <w:basedOn w:val="a"/>
    <w:link w:val="a6"/>
    <w:uiPriority w:val="99"/>
    <w:unhideWhenUsed/>
    <w:rsid w:val="00004E6F"/>
    <w:pPr>
      <w:tabs>
        <w:tab w:val="center" w:pos="4153"/>
        <w:tab w:val="right" w:pos="8306"/>
      </w:tabs>
      <w:snapToGrid w:val="0"/>
    </w:pPr>
    <w:rPr>
      <w:sz w:val="20"/>
      <w:szCs w:val="20"/>
    </w:rPr>
  </w:style>
  <w:style w:type="character" w:customStyle="1" w:styleId="a6">
    <w:name w:val="頁尾 字元"/>
    <w:basedOn w:val="a0"/>
    <w:link w:val="a5"/>
    <w:uiPriority w:val="99"/>
    <w:rsid w:val="00004E6F"/>
    <w:rPr>
      <w:sz w:val="20"/>
      <w:szCs w:val="20"/>
    </w:rPr>
  </w:style>
  <w:style w:type="table" w:styleId="a7">
    <w:name w:val="Table Grid"/>
    <w:basedOn w:val="a1"/>
    <w:uiPriority w:val="59"/>
    <w:rsid w:val="00937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E6F"/>
    <w:pPr>
      <w:tabs>
        <w:tab w:val="center" w:pos="4153"/>
        <w:tab w:val="right" w:pos="8306"/>
      </w:tabs>
      <w:snapToGrid w:val="0"/>
    </w:pPr>
    <w:rPr>
      <w:sz w:val="20"/>
      <w:szCs w:val="20"/>
    </w:rPr>
  </w:style>
  <w:style w:type="character" w:customStyle="1" w:styleId="a4">
    <w:name w:val="頁首 字元"/>
    <w:basedOn w:val="a0"/>
    <w:link w:val="a3"/>
    <w:uiPriority w:val="99"/>
    <w:rsid w:val="00004E6F"/>
    <w:rPr>
      <w:sz w:val="20"/>
      <w:szCs w:val="20"/>
    </w:rPr>
  </w:style>
  <w:style w:type="paragraph" w:styleId="a5">
    <w:name w:val="footer"/>
    <w:basedOn w:val="a"/>
    <w:link w:val="a6"/>
    <w:uiPriority w:val="99"/>
    <w:unhideWhenUsed/>
    <w:rsid w:val="00004E6F"/>
    <w:pPr>
      <w:tabs>
        <w:tab w:val="center" w:pos="4153"/>
        <w:tab w:val="right" w:pos="8306"/>
      </w:tabs>
      <w:snapToGrid w:val="0"/>
    </w:pPr>
    <w:rPr>
      <w:sz w:val="20"/>
      <w:szCs w:val="20"/>
    </w:rPr>
  </w:style>
  <w:style w:type="character" w:customStyle="1" w:styleId="a6">
    <w:name w:val="頁尾 字元"/>
    <w:basedOn w:val="a0"/>
    <w:link w:val="a5"/>
    <w:uiPriority w:val="99"/>
    <w:rsid w:val="00004E6F"/>
    <w:rPr>
      <w:sz w:val="20"/>
      <w:szCs w:val="20"/>
    </w:rPr>
  </w:style>
  <w:style w:type="table" w:styleId="a7">
    <w:name w:val="Table Grid"/>
    <w:basedOn w:val="a1"/>
    <w:uiPriority w:val="59"/>
    <w:rsid w:val="00937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03801">
      <w:bodyDiv w:val="1"/>
      <w:marLeft w:val="0"/>
      <w:marRight w:val="0"/>
      <w:marTop w:val="0"/>
      <w:marBottom w:val="0"/>
      <w:divBdr>
        <w:top w:val="none" w:sz="0" w:space="0" w:color="auto"/>
        <w:left w:val="none" w:sz="0" w:space="0" w:color="auto"/>
        <w:bottom w:val="none" w:sz="0" w:space="0" w:color="auto"/>
        <w:right w:val="none" w:sz="0" w:space="0" w:color="auto"/>
      </w:divBdr>
    </w:div>
    <w:div w:id="73476540">
      <w:bodyDiv w:val="1"/>
      <w:marLeft w:val="0"/>
      <w:marRight w:val="0"/>
      <w:marTop w:val="0"/>
      <w:marBottom w:val="0"/>
      <w:divBdr>
        <w:top w:val="none" w:sz="0" w:space="0" w:color="auto"/>
        <w:left w:val="none" w:sz="0" w:space="0" w:color="auto"/>
        <w:bottom w:val="none" w:sz="0" w:space="0" w:color="auto"/>
        <w:right w:val="none" w:sz="0" w:space="0" w:color="auto"/>
      </w:divBdr>
    </w:div>
    <w:div w:id="138379255">
      <w:bodyDiv w:val="1"/>
      <w:marLeft w:val="0"/>
      <w:marRight w:val="0"/>
      <w:marTop w:val="0"/>
      <w:marBottom w:val="0"/>
      <w:divBdr>
        <w:top w:val="none" w:sz="0" w:space="0" w:color="auto"/>
        <w:left w:val="none" w:sz="0" w:space="0" w:color="auto"/>
        <w:bottom w:val="none" w:sz="0" w:space="0" w:color="auto"/>
        <w:right w:val="none" w:sz="0" w:space="0" w:color="auto"/>
      </w:divBdr>
    </w:div>
    <w:div w:id="145972759">
      <w:bodyDiv w:val="1"/>
      <w:marLeft w:val="0"/>
      <w:marRight w:val="0"/>
      <w:marTop w:val="0"/>
      <w:marBottom w:val="0"/>
      <w:divBdr>
        <w:top w:val="none" w:sz="0" w:space="0" w:color="auto"/>
        <w:left w:val="none" w:sz="0" w:space="0" w:color="auto"/>
        <w:bottom w:val="none" w:sz="0" w:space="0" w:color="auto"/>
        <w:right w:val="none" w:sz="0" w:space="0" w:color="auto"/>
      </w:divBdr>
    </w:div>
    <w:div w:id="204680337">
      <w:bodyDiv w:val="1"/>
      <w:marLeft w:val="0"/>
      <w:marRight w:val="0"/>
      <w:marTop w:val="0"/>
      <w:marBottom w:val="0"/>
      <w:divBdr>
        <w:top w:val="none" w:sz="0" w:space="0" w:color="auto"/>
        <w:left w:val="none" w:sz="0" w:space="0" w:color="auto"/>
        <w:bottom w:val="none" w:sz="0" w:space="0" w:color="auto"/>
        <w:right w:val="none" w:sz="0" w:space="0" w:color="auto"/>
      </w:divBdr>
    </w:div>
    <w:div w:id="230390452">
      <w:bodyDiv w:val="1"/>
      <w:marLeft w:val="0"/>
      <w:marRight w:val="0"/>
      <w:marTop w:val="0"/>
      <w:marBottom w:val="0"/>
      <w:divBdr>
        <w:top w:val="none" w:sz="0" w:space="0" w:color="auto"/>
        <w:left w:val="none" w:sz="0" w:space="0" w:color="auto"/>
        <w:bottom w:val="none" w:sz="0" w:space="0" w:color="auto"/>
        <w:right w:val="none" w:sz="0" w:space="0" w:color="auto"/>
      </w:divBdr>
    </w:div>
    <w:div w:id="386493976">
      <w:bodyDiv w:val="1"/>
      <w:marLeft w:val="0"/>
      <w:marRight w:val="0"/>
      <w:marTop w:val="0"/>
      <w:marBottom w:val="0"/>
      <w:divBdr>
        <w:top w:val="none" w:sz="0" w:space="0" w:color="auto"/>
        <w:left w:val="none" w:sz="0" w:space="0" w:color="auto"/>
        <w:bottom w:val="none" w:sz="0" w:space="0" w:color="auto"/>
        <w:right w:val="none" w:sz="0" w:space="0" w:color="auto"/>
      </w:divBdr>
    </w:div>
    <w:div w:id="453796948">
      <w:bodyDiv w:val="1"/>
      <w:marLeft w:val="0"/>
      <w:marRight w:val="0"/>
      <w:marTop w:val="0"/>
      <w:marBottom w:val="0"/>
      <w:divBdr>
        <w:top w:val="none" w:sz="0" w:space="0" w:color="auto"/>
        <w:left w:val="none" w:sz="0" w:space="0" w:color="auto"/>
        <w:bottom w:val="none" w:sz="0" w:space="0" w:color="auto"/>
        <w:right w:val="none" w:sz="0" w:space="0" w:color="auto"/>
      </w:divBdr>
    </w:div>
    <w:div w:id="515072286">
      <w:bodyDiv w:val="1"/>
      <w:marLeft w:val="0"/>
      <w:marRight w:val="0"/>
      <w:marTop w:val="0"/>
      <w:marBottom w:val="0"/>
      <w:divBdr>
        <w:top w:val="none" w:sz="0" w:space="0" w:color="auto"/>
        <w:left w:val="none" w:sz="0" w:space="0" w:color="auto"/>
        <w:bottom w:val="none" w:sz="0" w:space="0" w:color="auto"/>
        <w:right w:val="none" w:sz="0" w:space="0" w:color="auto"/>
      </w:divBdr>
    </w:div>
    <w:div w:id="564687900">
      <w:bodyDiv w:val="1"/>
      <w:marLeft w:val="0"/>
      <w:marRight w:val="0"/>
      <w:marTop w:val="0"/>
      <w:marBottom w:val="0"/>
      <w:divBdr>
        <w:top w:val="none" w:sz="0" w:space="0" w:color="auto"/>
        <w:left w:val="none" w:sz="0" w:space="0" w:color="auto"/>
        <w:bottom w:val="none" w:sz="0" w:space="0" w:color="auto"/>
        <w:right w:val="none" w:sz="0" w:space="0" w:color="auto"/>
      </w:divBdr>
    </w:div>
    <w:div w:id="570038960">
      <w:bodyDiv w:val="1"/>
      <w:marLeft w:val="0"/>
      <w:marRight w:val="0"/>
      <w:marTop w:val="0"/>
      <w:marBottom w:val="0"/>
      <w:divBdr>
        <w:top w:val="none" w:sz="0" w:space="0" w:color="auto"/>
        <w:left w:val="none" w:sz="0" w:space="0" w:color="auto"/>
        <w:bottom w:val="none" w:sz="0" w:space="0" w:color="auto"/>
        <w:right w:val="none" w:sz="0" w:space="0" w:color="auto"/>
      </w:divBdr>
    </w:div>
    <w:div w:id="659311513">
      <w:bodyDiv w:val="1"/>
      <w:marLeft w:val="0"/>
      <w:marRight w:val="0"/>
      <w:marTop w:val="0"/>
      <w:marBottom w:val="0"/>
      <w:divBdr>
        <w:top w:val="none" w:sz="0" w:space="0" w:color="auto"/>
        <w:left w:val="none" w:sz="0" w:space="0" w:color="auto"/>
        <w:bottom w:val="none" w:sz="0" w:space="0" w:color="auto"/>
        <w:right w:val="none" w:sz="0" w:space="0" w:color="auto"/>
      </w:divBdr>
    </w:div>
    <w:div w:id="699629347">
      <w:bodyDiv w:val="1"/>
      <w:marLeft w:val="0"/>
      <w:marRight w:val="0"/>
      <w:marTop w:val="0"/>
      <w:marBottom w:val="0"/>
      <w:divBdr>
        <w:top w:val="none" w:sz="0" w:space="0" w:color="auto"/>
        <w:left w:val="none" w:sz="0" w:space="0" w:color="auto"/>
        <w:bottom w:val="none" w:sz="0" w:space="0" w:color="auto"/>
        <w:right w:val="none" w:sz="0" w:space="0" w:color="auto"/>
      </w:divBdr>
    </w:div>
    <w:div w:id="1137649757">
      <w:bodyDiv w:val="1"/>
      <w:marLeft w:val="0"/>
      <w:marRight w:val="0"/>
      <w:marTop w:val="0"/>
      <w:marBottom w:val="0"/>
      <w:divBdr>
        <w:top w:val="none" w:sz="0" w:space="0" w:color="auto"/>
        <w:left w:val="none" w:sz="0" w:space="0" w:color="auto"/>
        <w:bottom w:val="none" w:sz="0" w:space="0" w:color="auto"/>
        <w:right w:val="none" w:sz="0" w:space="0" w:color="auto"/>
      </w:divBdr>
    </w:div>
    <w:div w:id="1324698212">
      <w:bodyDiv w:val="1"/>
      <w:marLeft w:val="0"/>
      <w:marRight w:val="0"/>
      <w:marTop w:val="0"/>
      <w:marBottom w:val="0"/>
      <w:divBdr>
        <w:top w:val="none" w:sz="0" w:space="0" w:color="auto"/>
        <w:left w:val="none" w:sz="0" w:space="0" w:color="auto"/>
        <w:bottom w:val="none" w:sz="0" w:space="0" w:color="auto"/>
        <w:right w:val="none" w:sz="0" w:space="0" w:color="auto"/>
      </w:divBdr>
    </w:div>
    <w:div w:id="1515068607">
      <w:bodyDiv w:val="1"/>
      <w:marLeft w:val="0"/>
      <w:marRight w:val="0"/>
      <w:marTop w:val="0"/>
      <w:marBottom w:val="0"/>
      <w:divBdr>
        <w:top w:val="none" w:sz="0" w:space="0" w:color="auto"/>
        <w:left w:val="none" w:sz="0" w:space="0" w:color="auto"/>
        <w:bottom w:val="none" w:sz="0" w:space="0" w:color="auto"/>
        <w:right w:val="none" w:sz="0" w:space="0" w:color="auto"/>
      </w:divBdr>
    </w:div>
    <w:div w:id="1710182265">
      <w:bodyDiv w:val="1"/>
      <w:marLeft w:val="0"/>
      <w:marRight w:val="0"/>
      <w:marTop w:val="0"/>
      <w:marBottom w:val="0"/>
      <w:divBdr>
        <w:top w:val="none" w:sz="0" w:space="0" w:color="auto"/>
        <w:left w:val="none" w:sz="0" w:space="0" w:color="auto"/>
        <w:bottom w:val="none" w:sz="0" w:space="0" w:color="auto"/>
        <w:right w:val="none" w:sz="0" w:space="0" w:color="auto"/>
      </w:divBdr>
    </w:div>
    <w:div w:id="1833184079">
      <w:bodyDiv w:val="1"/>
      <w:marLeft w:val="0"/>
      <w:marRight w:val="0"/>
      <w:marTop w:val="0"/>
      <w:marBottom w:val="0"/>
      <w:divBdr>
        <w:top w:val="none" w:sz="0" w:space="0" w:color="auto"/>
        <w:left w:val="none" w:sz="0" w:space="0" w:color="auto"/>
        <w:bottom w:val="none" w:sz="0" w:space="0" w:color="auto"/>
        <w:right w:val="none" w:sz="0" w:space="0" w:color="auto"/>
      </w:divBdr>
    </w:div>
    <w:div w:id="1905987888">
      <w:bodyDiv w:val="1"/>
      <w:marLeft w:val="0"/>
      <w:marRight w:val="0"/>
      <w:marTop w:val="0"/>
      <w:marBottom w:val="0"/>
      <w:divBdr>
        <w:top w:val="none" w:sz="0" w:space="0" w:color="auto"/>
        <w:left w:val="none" w:sz="0" w:space="0" w:color="auto"/>
        <w:bottom w:val="none" w:sz="0" w:space="0" w:color="auto"/>
        <w:right w:val="none" w:sz="0" w:space="0" w:color="auto"/>
      </w:divBdr>
    </w:div>
    <w:div w:id="1907102571">
      <w:bodyDiv w:val="1"/>
      <w:marLeft w:val="0"/>
      <w:marRight w:val="0"/>
      <w:marTop w:val="0"/>
      <w:marBottom w:val="0"/>
      <w:divBdr>
        <w:top w:val="none" w:sz="0" w:space="0" w:color="auto"/>
        <w:left w:val="none" w:sz="0" w:space="0" w:color="auto"/>
        <w:bottom w:val="none" w:sz="0" w:space="0" w:color="auto"/>
        <w:right w:val="none" w:sz="0" w:space="0" w:color="auto"/>
      </w:divBdr>
    </w:div>
    <w:div w:id="1929996876">
      <w:bodyDiv w:val="1"/>
      <w:marLeft w:val="0"/>
      <w:marRight w:val="0"/>
      <w:marTop w:val="0"/>
      <w:marBottom w:val="0"/>
      <w:divBdr>
        <w:top w:val="none" w:sz="0" w:space="0" w:color="auto"/>
        <w:left w:val="none" w:sz="0" w:space="0" w:color="auto"/>
        <w:bottom w:val="none" w:sz="0" w:space="0" w:color="auto"/>
        <w:right w:val="none" w:sz="0" w:space="0" w:color="auto"/>
      </w:divBdr>
    </w:div>
    <w:div w:id="1939101364">
      <w:bodyDiv w:val="1"/>
      <w:marLeft w:val="0"/>
      <w:marRight w:val="0"/>
      <w:marTop w:val="0"/>
      <w:marBottom w:val="0"/>
      <w:divBdr>
        <w:top w:val="none" w:sz="0" w:space="0" w:color="auto"/>
        <w:left w:val="none" w:sz="0" w:space="0" w:color="auto"/>
        <w:bottom w:val="none" w:sz="0" w:space="0" w:color="auto"/>
        <w:right w:val="none" w:sz="0" w:space="0" w:color="auto"/>
      </w:divBdr>
    </w:div>
    <w:div w:id="1956057873">
      <w:bodyDiv w:val="1"/>
      <w:marLeft w:val="0"/>
      <w:marRight w:val="0"/>
      <w:marTop w:val="0"/>
      <w:marBottom w:val="0"/>
      <w:divBdr>
        <w:top w:val="none" w:sz="0" w:space="0" w:color="auto"/>
        <w:left w:val="none" w:sz="0" w:space="0" w:color="auto"/>
        <w:bottom w:val="none" w:sz="0" w:space="0" w:color="auto"/>
        <w:right w:val="none" w:sz="0" w:space="0" w:color="auto"/>
      </w:divBdr>
    </w:div>
    <w:div w:id="2054960389">
      <w:bodyDiv w:val="1"/>
      <w:marLeft w:val="0"/>
      <w:marRight w:val="0"/>
      <w:marTop w:val="0"/>
      <w:marBottom w:val="0"/>
      <w:divBdr>
        <w:top w:val="none" w:sz="0" w:space="0" w:color="auto"/>
        <w:left w:val="none" w:sz="0" w:space="0" w:color="auto"/>
        <w:bottom w:val="none" w:sz="0" w:space="0" w:color="auto"/>
        <w:right w:val="none" w:sz="0" w:space="0" w:color="auto"/>
      </w:divBdr>
    </w:div>
    <w:div w:id="21344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2010</Characters>
  <Application>Microsoft Office Word</Application>
  <DocSecurity>4</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2015-11-06T03:25:00Z</cp:lastPrinted>
  <dcterms:created xsi:type="dcterms:W3CDTF">2015-11-20T08:10:00Z</dcterms:created>
  <dcterms:modified xsi:type="dcterms:W3CDTF">2015-11-20T08:10:00Z</dcterms:modified>
</cp:coreProperties>
</file>