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3E9" w:rsidRDefault="006A7DB5" w:rsidP="006A7DB5">
      <w:pPr>
        <w:spacing w:line="500" w:lineRule="exact"/>
        <w:rPr>
          <w:rFonts w:ascii="標楷體" w:eastAsia="標楷體" w:hAnsi="標楷體"/>
          <w:sz w:val="32"/>
          <w:szCs w:val="32"/>
        </w:rPr>
      </w:pPr>
      <w:bookmarkStart w:id="0" w:name="_GoBack"/>
      <w:bookmarkEnd w:id="0"/>
      <w:r w:rsidRPr="006A7DB5">
        <w:rPr>
          <w:rFonts w:ascii="標楷體" w:eastAsia="標楷體" w:hAnsi="標楷體" w:hint="eastAsia"/>
          <w:sz w:val="32"/>
          <w:szCs w:val="32"/>
        </w:rPr>
        <w:t>「行政院及所屬各級政府機關公立學校公務人員陞任評分標準表」相關釋例彙整表新增釋例</w:t>
      </w:r>
    </w:p>
    <w:p w:rsidR="006A7DB5" w:rsidRDefault="006A7DB5" w:rsidP="0099051F">
      <w:pPr>
        <w:spacing w:line="400" w:lineRule="exact"/>
        <w:rPr>
          <w:rFonts w:ascii="標楷體" w:eastAsia="標楷體" w:hAnsi="標楷體"/>
          <w:szCs w:val="24"/>
        </w:rPr>
      </w:pPr>
      <w:r>
        <w:rPr>
          <w:rFonts w:ascii="標楷體" w:eastAsia="標楷體" w:hAnsi="標楷體" w:hint="eastAsia"/>
          <w:szCs w:val="24"/>
        </w:rPr>
        <w:t>說明：</w:t>
      </w:r>
    </w:p>
    <w:p w:rsidR="006A7DB5" w:rsidRDefault="006A7DB5" w:rsidP="0099051F">
      <w:pPr>
        <w:pStyle w:val="a3"/>
        <w:numPr>
          <w:ilvl w:val="0"/>
          <w:numId w:val="1"/>
        </w:numPr>
        <w:spacing w:line="400" w:lineRule="exact"/>
        <w:ind w:leftChars="0"/>
        <w:rPr>
          <w:rFonts w:ascii="標楷體" w:eastAsia="標楷體" w:hAnsi="標楷體"/>
          <w:szCs w:val="24"/>
        </w:rPr>
      </w:pPr>
      <w:r>
        <w:rPr>
          <w:rFonts w:ascii="標楷體" w:eastAsia="標楷體" w:hAnsi="標楷體" w:hint="eastAsia"/>
          <w:szCs w:val="24"/>
        </w:rPr>
        <w:t>原行政院人事行政局100年7月25日局力字第1000044692號函諒達。</w:t>
      </w:r>
    </w:p>
    <w:p w:rsidR="006A7DB5" w:rsidRDefault="006A7DB5" w:rsidP="00996D35">
      <w:pPr>
        <w:pStyle w:val="a3"/>
        <w:numPr>
          <w:ilvl w:val="0"/>
          <w:numId w:val="1"/>
        </w:numPr>
        <w:spacing w:afterLines="50" w:line="400" w:lineRule="exact"/>
        <w:ind w:leftChars="0" w:left="726" w:hanging="482"/>
        <w:rPr>
          <w:rFonts w:ascii="標楷體" w:eastAsia="標楷體" w:hAnsi="標楷體"/>
          <w:szCs w:val="24"/>
        </w:rPr>
      </w:pPr>
      <w:r>
        <w:rPr>
          <w:rFonts w:ascii="標楷體" w:eastAsia="標楷體" w:hAnsi="標楷體" w:hint="eastAsia"/>
          <w:szCs w:val="24"/>
        </w:rPr>
        <w:t>本次新增釋例係納入100年7月25日至104年</w:t>
      </w:r>
      <w:r w:rsidR="002F493A">
        <w:rPr>
          <w:rFonts w:ascii="標楷體" w:eastAsia="標楷體" w:hAnsi="標楷體" w:hint="eastAsia"/>
          <w:szCs w:val="24"/>
        </w:rPr>
        <w:t>7</w:t>
      </w:r>
      <w:r>
        <w:rPr>
          <w:rFonts w:ascii="標楷體" w:eastAsia="標楷體" w:hAnsi="標楷體" w:hint="eastAsia"/>
          <w:szCs w:val="24"/>
        </w:rPr>
        <w:t>月</w:t>
      </w:r>
      <w:r w:rsidR="002F493A">
        <w:rPr>
          <w:rFonts w:ascii="標楷體" w:eastAsia="標楷體" w:hAnsi="標楷體" w:hint="eastAsia"/>
          <w:szCs w:val="24"/>
        </w:rPr>
        <w:t>7</w:t>
      </w:r>
      <w:r>
        <w:rPr>
          <w:rFonts w:ascii="標楷體" w:eastAsia="標楷體" w:hAnsi="標楷體" w:hint="eastAsia"/>
          <w:szCs w:val="24"/>
        </w:rPr>
        <w:t>日</w:t>
      </w:r>
      <w:r w:rsidR="002F493A">
        <w:rPr>
          <w:rFonts w:ascii="標楷體" w:eastAsia="標楷體" w:hAnsi="標楷體" w:hint="eastAsia"/>
          <w:szCs w:val="24"/>
        </w:rPr>
        <w:t>本總處</w:t>
      </w:r>
      <w:r w:rsidR="00E43B4B">
        <w:rPr>
          <w:rFonts w:ascii="標楷體" w:eastAsia="標楷體" w:hAnsi="標楷體" w:hint="eastAsia"/>
          <w:szCs w:val="24"/>
        </w:rPr>
        <w:t>就陞任評分標準表所作之相關</w:t>
      </w:r>
      <w:r w:rsidR="002F493A">
        <w:rPr>
          <w:rFonts w:ascii="標楷體" w:eastAsia="標楷體" w:hAnsi="標楷體" w:hint="eastAsia"/>
          <w:szCs w:val="24"/>
        </w:rPr>
        <w:t>函釋。</w:t>
      </w:r>
    </w:p>
    <w:tbl>
      <w:tblPr>
        <w:tblStyle w:val="a4"/>
        <w:tblW w:w="9072" w:type="dxa"/>
        <w:tblLook w:val="04A0"/>
      </w:tblPr>
      <w:tblGrid>
        <w:gridCol w:w="567"/>
        <w:gridCol w:w="567"/>
        <w:gridCol w:w="1984"/>
        <w:gridCol w:w="3969"/>
        <w:gridCol w:w="1985"/>
      </w:tblGrid>
      <w:tr w:rsidR="00FA33BF" w:rsidTr="0099051F">
        <w:trPr>
          <w:tblHeader/>
        </w:trPr>
        <w:tc>
          <w:tcPr>
            <w:tcW w:w="567" w:type="dxa"/>
          </w:tcPr>
          <w:p w:rsidR="00FA33BF" w:rsidRDefault="00FA33BF" w:rsidP="00FA33BF">
            <w:pPr>
              <w:spacing w:line="300" w:lineRule="exact"/>
              <w:jc w:val="center"/>
              <w:rPr>
                <w:rFonts w:ascii="標楷體" w:eastAsia="標楷體" w:hAnsi="標楷體"/>
                <w:szCs w:val="24"/>
              </w:rPr>
            </w:pPr>
            <w:r>
              <w:rPr>
                <w:rFonts w:ascii="標楷體" w:eastAsia="標楷體" w:hAnsi="標楷體" w:hint="eastAsia"/>
                <w:szCs w:val="24"/>
              </w:rPr>
              <w:t>編號</w:t>
            </w:r>
          </w:p>
        </w:tc>
        <w:tc>
          <w:tcPr>
            <w:tcW w:w="567" w:type="dxa"/>
            <w:vAlign w:val="center"/>
          </w:tcPr>
          <w:p w:rsidR="00FA33BF" w:rsidRDefault="00FA33BF" w:rsidP="00AA6CED">
            <w:pPr>
              <w:spacing w:line="300" w:lineRule="exact"/>
              <w:jc w:val="center"/>
              <w:rPr>
                <w:rFonts w:ascii="標楷體" w:eastAsia="標楷體" w:hAnsi="標楷體"/>
                <w:szCs w:val="24"/>
              </w:rPr>
            </w:pPr>
            <w:r>
              <w:rPr>
                <w:rFonts w:ascii="標楷體" w:eastAsia="標楷體" w:hAnsi="標楷體" w:hint="eastAsia"/>
                <w:szCs w:val="24"/>
              </w:rPr>
              <w:t>類別</w:t>
            </w:r>
          </w:p>
        </w:tc>
        <w:tc>
          <w:tcPr>
            <w:tcW w:w="1984" w:type="dxa"/>
            <w:vAlign w:val="center"/>
          </w:tcPr>
          <w:p w:rsidR="00FA33BF" w:rsidRDefault="00FA33BF" w:rsidP="00FA33BF">
            <w:pPr>
              <w:spacing w:line="300" w:lineRule="exact"/>
              <w:jc w:val="center"/>
              <w:rPr>
                <w:rFonts w:ascii="標楷體" w:eastAsia="標楷體" w:hAnsi="標楷體"/>
                <w:szCs w:val="24"/>
              </w:rPr>
            </w:pPr>
            <w:r>
              <w:rPr>
                <w:rFonts w:ascii="標楷體" w:eastAsia="標楷體" w:hAnsi="標楷體" w:hint="eastAsia"/>
                <w:szCs w:val="24"/>
              </w:rPr>
              <w:t>要旨</w:t>
            </w:r>
          </w:p>
        </w:tc>
        <w:tc>
          <w:tcPr>
            <w:tcW w:w="3969" w:type="dxa"/>
            <w:vAlign w:val="center"/>
          </w:tcPr>
          <w:p w:rsidR="00FA33BF" w:rsidRDefault="00FA33BF" w:rsidP="00FA33BF">
            <w:pPr>
              <w:spacing w:line="300" w:lineRule="exact"/>
              <w:jc w:val="center"/>
              <w:rPr>
                <w:rFonts w:ascii="標楷體" w:eastAsia="標楷體" w:hAnsi="標楷體"/>
                <w:szCs w:val="24"/>
              </w:rPr>
            </w:pPr>
            <w:r>
              <w:rPr>
                <w:rFonts w:ascii="標楷體" w:eastAsia="標楷體" w:hAnsi="標楷體" w:hint="eastAsia"/>
                <w:szCs w:val="24"/>
              </w:rPr>
              <w:t>解釋事項</w:t>
            </w:r>
          </w:p>
        </w:tc>
        <w:tc>
          <w:tcPr>
            <w:tcW w:w="1985" w:type="dxa"/>
            <w:vAlign w:val="center"/>
          </w:tcPr>
          <w:p w:rsidR="00FA33BF" w:rsidRDefault="00FA33BF" w:rsidP="00FA33BF">
            <w:pPr>
              <w:spacing w:line="300" w:lineRule="exact"/>
              <w:jc w:val="center"/>
              <w:rPr>
                <w:rFonts w:ascii="標楷體" w:eastAsia="標楷體" w:hAnsi="標楷體"/>
                <w:szCs w:val="24"/>
              </w:rPr>
            </w:pPr>
            <w:r>
              <w:rPr>
                <w:rFonts w:ascii="標楷體" w:eastAsia="標楷體" w:hAnsi="標楷體" w:hint="eastAsia"/>
                <w:szCs w:val="24"/>
              </w:rPr>
              <w:t>解釋機關</w:t>
            </w:r>
          </w:p>
          <w:p w:rsidR="00FA33BF" w:rsidRDefault="00FA33BF" w:rsidP="00FA33BF">
            <w:pPr>
              <w:spacing w:line="300" w:lineRule="exact"/>
              <w:jc w:val="center"/>
              <w:rPr>
                <w:rFonts w:ascii="標楷體" w:eastAsia="標楷體" w:hAnsi="標楷體"/>
                <w:szCs w:val="24"/>
              </w:rPr>
            </w:pPr>
            <w:r>
              <w:rPr>
                <w:rFonts w:ascii="標楷體" w:eastAsia="標楷體" w:hAnsi="標楷體" w:hint="eastAsia"/>
                <w:szCs w:val="24"/>
              </w:rPr>
              <w:t>日期文號</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Pr="00FA33BF" w:rsidRDefault="00FA33BF" w:rsidP="00FA33BF">
            <w:pPr>
              <w:spacing w:line="360" w:lineRule="exact"/>
              <w:jc w:val="center"/>
              <w:rPr>
                <w:rFonts w:ascii="標楷體" w:eastAsia="標楷體" w:hAnsi="標楷體"/>
                <w:szCs w:val="24"/>
              </w:rPr>
            </w:pPr>
            <w:r>
              <w:rPr>
                <w:rFonts w:ascii="標楷體" w:eastAsia="標楷體" w:hAnsi="標楷體" w:hint="eastAsia"/>
                <w:szCs w:val="24"/>
              </w:rPr>
              <w:t>年資</w:t>
            </w:r>
          </w:p>
        </w:tc>
        <w:tc>
          <w:tcPr>
            <w:tcW w:w="1984" w:type="dxa"/>
          </w:tcPr>
          <w:p w:rsidR="00FA33BF" w:rsidRDefault="00FA33BF" w:rsidP="00FA33BF">
            <w:pPr>
              <w:spacing w:line="360" w:lineRule="exact"/>
              <w:rPr>
                <w:rFonts w:ascii="標楷體" w:eastAsia="標楷體" w:hAnsi="標楷體"/>
                <w:szCs w:val="24"/>
              </w:rPr>
            </w:pPr>
            <w:r w:rsidRPr="001D4C15">
              <w:rPr>
                <w:rFonts w:ascii="標楷體" w:eastAsia="標楷體" w:hAnsi="標楷體" w:hint="eastAsia"/>
              </w:rPr>
              <w:t>降調人員如具有與擬陞任職務之次一序列職務為同一序列之服務年資，可採計陞任評分</w:t>
            </w:r>
          </w:p>
        </w:tc>
        <w:tc>
          <w:tcPr>
            <w:tcW w:w="3969" w:type="dxa"/>
          </w:tcPr>
          <w:p w:rsidR="00FA33BF" w:rsidRDefault="00FA33BF" w:rsidP="00E43B4B">
            <w:pPr>
              <w:spacing w:line="360" w:lineRule="exact"/>
              <w:jc w:val="both"/>
              <w:rPr>
                <w:rFonts w:ascii="標楷體" w:eastAsia="標楷體" w:hAnsi="標楷體"/>
                <w:szCs w:val="24"/>
              </w:rPr>
            </w:pPr>
            <w:r w:rsidRPr="00FA33BF">
              <w:rPr>
                <w:rFonts w:ascii="標楷體" w:eastAsia="標楷體" w:hAnsi="標楷體" w:hint="eastAsia"/>
                <w:szCs w:val="24"/>
              </w:rPr>
              <w:t>有關配合組織調整降調人員可否併計前已採計之服務年資參加陞遷考核一案:依原行政院人事行政局</w:t>
            </w:r>
            <w:r w:rsidR="00E43B4B">
              <w:rPr>
                <w:rFonts w:ascii="標楷體" w:eastAsia="標楷體" w:hAnsi="標楷體" w:hint="eastAsia"/>
                <w:szCs w:val="24"/>
              </w:rPr>
              <w:t>(以下簡稱原人事局)</w:t>
            </w:r>
            <w:r w:rsidRPr="00FA33BF">
              <w:rPr>
                <w:rFonts w:ascii="標楷體" w:eastAsia="標楷體" w:hAnsi="標楷體" w:hint="eastAsia"/>
                <w:szCs w:val="24"/>
              </w:rPr>
              <w:t>94年6月3日局力字第0940014743號書函略以，自願降調人員如具有與擬陞任職務之次一序列職務為同一序列之服務年資，同意予以採計評分。又上函係為顧及公務人員陞遷法逐級陞遷人員陞任計分權益，尚不因降調人員為自願降調、非自願降調或因組織調整降調而有所不同。是以，降調人員如具有與擬陞任職務之次一序列職務為同一序列之服務年資，即可採計陞任評分。</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t>行政院人事行政</w:t>
            </w:r>
            <w:r w:rsidRPr="00FA33BF">
              <w:rPr>
                <w:rFonts w:ascii="標楷體" w:eastAsia="標楷體" w:hAnsi="標楷體" w:hint="eastAsia"/>
                <w:szCs w:val="24"/>
              </w:rPr>
              <w:t>總處104年1月6日總處組字第1030057979號E-mail回函</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Pr="00FA33BF" w:rsidRDefault="00FA33BF" w:rsidP="00FA33BF">
            <w:pPr>
              <w:spacing w:line="360" w:lineRule="exact"/>
              <w:jc w:val="center"/>
              <w:rPr>
                <w:rFonts w:ascii="標楷體" w:eastAsia="標楷體" w:hAnsi="標楷體"/>
                <w:szCs w:val="24"/>
              </w:rPr>
            </w:pPr>
            <w:r>
              <w:rPr>
                <w:rFonts w:ascii="標楷體" w:eastAsia="標楷體" w:hAnsi="標楷體" w:hint="eastAsia"/>
                <w:szCs w:val="24"/>
              </w:rPr>
              <w:t>年資</w:t>
            </w:r>
          </w:p>
        </w:tc>
        <w:tc>
          <w:tcPr>
            <w:tcW w:w="1984" w:type="dxa"/>
          </w:tcPr>
          <w:p w:rsidR="00FA33BF" w:rsidRDefault="00FA33BF" w:rsidP="00FA33BF">
            <w:pPr>
              <w:spacing w:line="360" w:lineRule="exact"/>
              <w:rPr>
                <w:rFonts w:ascii="標楷體" w:eastAsia="標楷體" w:hAnsi="標楷體"/>
                <w:szCs w:val="24"/>
              </w:rPr>
            </w:pPr>
            <w:r w:rsidRPr="00FA33BF">
              <w:rPr>
                <w:rFonts w:ascii="標楷體" w:eastAsia="標楷體" w:hAnsi="標楷體" w:hint="eastAsia"/>
                <w:szCs w:val="24"/>
              </w:rPr>
              <w:t>配合組改移撥安置人員年資採計問題</w:t>
            </w:r>
          </w:p>
        </w:tc>
        <w:tc>
          <w:tcPr>
            <w:tcW w:w="3969" w:type="dxa"/>
          </w:tcPr>
          <w:p w:rsidR="00FA33BF" w:rsidRDefault="00FA33BF" w:rsidP="00E43B4B">
            <w:pPr>
              <w:spacing w:line="360" w:lineRule="exact"/>
              <w:jc w:val="both"/>
              <w:rPr>
                <w:rFonts w:ascii="標楷體" w:eastAsia="標楷體" w:hAnsi="標楷體"/>
                <w:szCs w:val="24"/>
              </w:rPr>
            </w:pPr>
            <w:r w:rsidRPr="00FA33BF">
              <w:rPr>
                <w:rFonts w:ascii="標楷體" w:eastAsia="標楷體" w:hAnsi="標楷體" w:hint="eastAsia"/>
                <w:szCs w:val="24"/>
              </w:rPr>
              <w:t>原某縣議會薦任第9職等秘書移撥安置某直轄市議會擔任薦任第8職等至第9職等秘書、專員或編審，擬陞任該會簡任第 10 職等至 11 職等專門委員或秘書職務，建議同意採計移撥前原某縣議會薦任第8職等專員職務年資一節，查原人事局90年3月23日90局力字第001315號書函略以，陞任評分標準表年資評分項目說明略以，「同職務列等」及「同一陞遷序列」之職務年資，並未限制僅能採計本機關或曾任同一機關職務之年資。又「同職務列等」係指與本職職務列等相同之其他職務；至他</w:t>
            </w:r>
            <w:r w:rsidRPr="00FA33BF">
              <w:rPr>
                <w:rFonts w:ascii="標楷體" w:eastAsia="標楷體" w:hAnsi="標楷體" w:hint="eastAsia"/>
                <w:szCs w:val="24"/>
              </w:rPr>
              <w:lastRenderedPageBreak/>
              <w:t>機關之現職或曾任職務與本機關現擬參加陞任甄審人員之職務，是否視為「同一陞遷序列」之職務，由甄審委員會就機關之陞遷序列秉公平、公正及衡平原則審酌認定之。旨揭建議請依上開規定，由機關審酌認定。</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lastRenderedPageBreak/>
              <w:t>行政院人事行政</w:t>
            </w:r>
            <w:r w:rsidRPr="00FA33BF">
              <w:rPr>
                <w:rFonts w:ascii="標楷體" w:eastAsia="標楷體" w:hAnsi="標楷體" w:hint="eastAsia"/>
                <w:szCs w:val="24"/>
              </w:rPr>
              <w:t>總處101年10月30日總處組字第1010054931號函</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Pr="00FA33BF" w:rsidRDefault="00FA33BF" w:rsidP="00FA33BF">
            <w:pPr>
              <w:spacing w:line="360" w:lineRule="exact"/>
              <w:jc w:val="center"/>
              <w:rPr>
                <w:rFonts w:ascii="標楷體" w:eastAsia="標楷體" w:hAnsi="標楷體"/>
                <w:szCs w:val="24"/>
              </w:rPr>
            </w:pPr>
            <w:r>
              <w:rPr>
                <w:rFonts w:ascii="標楷體" w:eastAsia="標楷體" w:hAnsi="標楷體" w:hint="eastAsia"/>
                <w:szCs w:val="24"/>
              </w:rPr>
              <w:t>留職停薪</w:t>
            </w:r>
          </w:p>
        </w:tc>
        <w:tc>
          <w:tcPr>
            <w:tcW w:w="1984" w:type="dxa"/>
          </w:tcPr>
          <w:p w:rsidR="00FA33BF" w:rsidRDefault="00FA33BF" w:rsidP="00FA33BF">
            <w:pPr>
              <w:spacing w:line="360" w:lineRule="exact"/>
              <w:rPr>
                <w:rFonts w:ascii="標楷體" w:eastAsia="標楷體" w:hAnsi="標楷體"/>
                <w:szCs w:val="24"/>
              </w:rPr>
            </w:pPr>
            <w:r w:rsidRPr="00FA33BF">
              <w:rPr>
                <w:rFonts w:ascii="標楷體" w:eastAsia="標楷體" w:hAnsi="標楷體" w:hint="eastAsia"/>
                <w:szCs w:val="24"/>
              </w:rPr>
              <w:t>留職停薪借調至其他公務機關，可採計留職停薪期間資績</w:t>
            </w:r>
          </w:p>
        </w:tc>
        <w:tc>
          <w:tcPr>
            <w:tcW w:w="3969" w:type="dxa"/>
          </w:tcPr>
          <w:p w:rsidR="00FA33BF" w:rsidRDefault="00FA33BF" w:rsidP="00E43B4B">
            <w:pPr>
              <w:spacing w:line="360" w:lineRule="exact"/>
              <w:jc w:val="both"/>
              <w:rPr>
                <w:rFonts w:ascii="標楷體" w:eastAsia="標楷體" w:hAnsi="標楷體"/>
                <w:szCs w:val="24"/>
              </w:rPr>
            </w:pPr>
            <w:r w:rsidRPr="00FA33BF">
              <w:rPr>
                <w:rFonts w:ascii="標楷體" w:eastAsia="標楷體" w:hAnsi="標楷體" w:hint="eastAsia"/>
                <w:szCs w:val="24"/>
              </w:rPr>
              <w:t>鑑於配合公務需要，經本機關核准留職停薪借調至其他公務機關者，雖未於本機關服務，惟渠等人員留職停薪期間仍有任職公務機關之事實，且為兼顧機關內現職人員衡平，如符合上開陞任評分標準表之規定，同意渠等人員之陞任評分得採計留職停薪期間年資、考績、獎懲事實，並得由甄審委員會視機關業務需要、借調之職務性質及陞遷情形審酌決定採計方式，惟如經甄審委員會決定應於回職復薪後一定期間內始予採計，則該期間最長不得逾3年；至個別選項部分，得由各機關自行決定。</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t>行政院人事行政</w:t>
            </w:r>
            <w:r w:rsidRPr="00FA33BF">
              <w:rPr>
                <w:rFonts w:ascii="標楷體" w:eastAsia="標楷體" w:hAnsi="標楷體" w:hint="eastAsia"/>
                <w:szCs w:val="24"/>
              </w:rPr>
              <w:t>總處100年9月6日局力字第1000046184號函</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Pr="00FA33BF" w:rsidRDefault="00FA33BF" w:rsidP="00FA33BF">
            <w:pPr>
              <w:spacing w:line="360" w:lineRule="exact"/>
              <w:jc w:val="center"/>
              <w:rPr>
                <w:rFonts w:ascii="標楷體" w:eastAsia="標楷體" w:hAnsi="標楷體"/>
                <w:szCs w:val="24"/>
              </w:rPr>
            </w:pPr>
            <w:r>
              <w:rPr>
                <w:rFonts w:ascii="標楷體" w:eastAsia="標楷體" w:hAnsi="標楷體" w:hint="eastAsia"/>
                <w:szCs w:val="24"/>
              </w:rPr>
              <w:t>留職停薪</w:t>
            </w:r>
          </w:p>
        </w:tc>
        <w:tc>
          <w:tcPr>
            <w:tcW w:w="1984" w:type="dxa"/>
          </w:tcPr>
          <w:p w:rsidR="00FA33BF" w:rsidRDefault="00FA33BF" w:rsidP="00FA33BF">
            <w:pPr>
              <w:spacing w:line="360" w:lineRule="exact"/>
              <w:rPr>
                <w:rFonts w:ascii="標楷體" w:eastAsia="標楷體" w:hAnsi="標楷體"/>
                <w:szCs w:val="24"/>
              </w:rPr>
            </w:pPr>
            <w:r w:rsidRPr="00FA33BF">
              <w:rPr>
                <w:rFonts w:ascii="標楷體" w:eastAsia="標楷體" w:hAnsi="標楷體" w:hint="eastAsia"/>
                <w:szCs w:val="24"/>
              </w:rPr>
              <w:t>服兵役經本機關核准留職停薪者，於回職後擬參加本機關職務陞任甄審時，可否溯前採計留職停薪前之考績及獎懲評分疑義</w:t>
            </w:r>
          </w:p>
        </w:tc>
        <w:tc>
          <w:tcPr>
            <w:tcW w:w="3969" w:type="dxa"/>
          </w:tcPr>
          <w:p w:rsidR="00FA33BF" w:rsidRDefault="00FA33BF" w:rsidP="00E43B4B">
            <w:pPr>
              <w:spacing w:line="360" w:lineRule="exact"/>
              <w:jc w:val="both"/>
              <w:rPr>
                <w:rFonts w:ascii="標楷體" w:eastAsia="標楷體" w:hAnsi="標楷體"/>
                <w:szCs w:val="24"/>
              </w:rPr>
            </w:pPr>
            <w:r w:rsidRPr="00FA33BF">
              <w:rPr>
                <w:rFonts w:ascii="標楷體" w:eastAsia="標楷體" w:hAnsi="標楷體" w:hint="eastAsia"/>
                <w:szCs w:val="24"/>
              </w:rPr>
              <w:t>依原人事局77年12月12日77局貳字第46131號函規定略以，受考人具有之考績（成）資料是否採計，其標準在於「（一）最近五年（二）為現職或同『職務列等』職務之考績」。另依原人事局85年9月26日85局力字第33367號函規定，以留職停薪人員，於其留職停薪期間並無服務之事實，如從寬同意溯前採計考績，對未中斷考績年度參加升遷考核甄審人員不公平，不得溯前採計年資中斷前之考績。是以，依上開規定，現行公務人員應徵服兵役並辦理留職停薪者，於復職後，尚無法溯前採計留職停薪前之考績及獎懲納入陞遷評分採計。</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t>行政院人事行政</w:t>
            </w:r>
            <w:r w:rsidRPr="00FA33BF">
              <w:rPr>
                <w:rFonts w:ascii="標楷體" w:eastAsia="標楷體" w:hAnsi="標楷體" w:hint="eastAsia"/>
                <w:szCs w:val="24"/>
              </w:rPr>
              <w:t>總處102年3月29日總處組字第1020027031號E-mail回函</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Pr="00FA33BF" w:rsidRDefault="00FA33BF" w:rsidP="00FA33BF">
            <w:pPr>
              <w:spacing w:line="360" w:lineRule="exact"/>
              <w:jc w:val="center"/>
              <w:rPr>
                <w:rFonts w:ascii="標楷體" w:eastAsia="標楷體" w:hAnsi="標楷體"/>
                <w:szCs w:val="24"/>
              </w:rPr>
            </w:pPr>
            <w:r w:rsidRPr="00FA33BF">
              <w:rPr>
                <w:rFonts w:ascii="標楷體" w:eastAsia="標楷體" w:hAnsi="標楷體" w:hint="eastAsia"/>
                <w:szCs w:val="24"/>
              </w:rPr>
              <w:t>職務歷練</w:t>
            </w:r>
          </w:p>
        </w:tc>
        <w:tc>
          <w:tcPr>
            <w:tcW w:w="1984" w:type="dxa"/>
          </w:tcPr>
          <w:p w:rsidR="00FA33BF" w:rsidRDefault="00FA33BF" w:rsidP="00FA33BF">
            <w:pPr>
              <w:spacing w:line="360" w:lineRule="exact"/>
              <w:rPr>
                <w:rFonts w:ascii="標楷體" w:eastAsia="標楷體" w:hAnsi="標楷體"/>
                <w:szCs w:val="24"/>
              </w:rPr>
            </w:pPr>
            <w:r w:rsidRPr="00FA33BF">
              <w:rPr>
                <w:rFonts w:ascii="標楷體" w:eastAsia="標楷體" w:hAnsi="標楷體" w:hint="eastAsia"/>
                <w:szCs w:val="24"/>
              </w:rPr>
              <w:t>配合行政院組織調整移撥人員之職務歷練是否採計評分及如何採計，由各機關基於公平合理原則認定</w:t>
            </w:r>
          </w:p>
        </w:tc>
        <w:tc>
          <w:tcPr>
            <w:tcW w:w="3969" w:type="dxa"/>
          </w:tcPr>
          <w:p w:rsidR="00FA33BF" w:rsidRDefault="00FA33BF" w:rsidP="00E43B4B">
            <w:pPr>
              <w:spacing w:line="360" w:lineRule="exact"/>
              <w:jc w:val="both"/>
              <w:rPr>
                <w:rFonts w:ascii="標楷體" w:eastAsia="標楷體" w:hAnsi="標楷體"/>
                <w:szCs w:val="24"/>
              </w:rPr>
            </w:pPr>
            <w:r w:rsidRPr="00FA33BF">
              <w:rPr>
                <w:rFonts w:ascii="標楷體" w:eastAsia="標楷體" w:hAnsi="標楷體" w:hint="eastAsia"/>
                <w:szCs w:val="24"/>
              </w:rPr>
              <w:t>配合行政院組織調整移撥人員於公務人員陞任評分標準表職務歷練項目採計評分，鑑於職務歷練之認定係屬各機關權責，旨揭配合行政院組織調整移撥人員之職務歷練是否採計評分及如何採計，由各機關依各該陞任評分表準表及相關規定，基於公平合理原則認定之。</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t>行政院人事行政</w:t>
            </w:r>
            <w:r w:rsidRPr="00FA33BF">
              <w:rPr>
                <w:rFonts w:ascii="標楷體" w:eastAsia="標楷體" w:hAnsi="標楷體" w:hint="eastAsia"/>
                <w:szCs w:val="24"/>
              </w:rPr>
              <w:t>總處101年11月6日總處組字第1010057996號函</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Pr="00FA33BF" w:rsidRDefault="00FA33BF" w:rsidP="00FA33BF">
            <w:pPr>
              <w:spacing w:line="360" w:lineRule="exact"/>
              <w:jc w:val="center"/>
              <w:rPr>
                <w:rFonts w:ascii="標楷體" w:eastAsia="標楷體" w:hAnsi="標楷體"/>
                <w:szCs w:val="24"/>
              </w:rPr>
            </w:pPr>
            <w:r w:rsidRPr="00FA33BF">
              <w:rPr>
                <w:rFonts w:ascii="標楷體" w:eastAsia="標楷體" w:hAnsi="標楷體" w:hint="eastAsia"/>
                <w:szCs w:val="24"/>
              </w:rPr>
              <w:t>考試</w:t>
            </w:r>
          </w:p>
        </w:tc>
        <w:tc>
          <w:tcPr>
            <w:tcW w:w="1984" w:type="dxa"/>
          </w:tcPr>
          <w:p w:rsidR="00FA33BF" w:rsidRDefault="00FA33BF" w:rsidP="00FA33BF">
            <w:pPr>
              <w:spacing w:line="360" w:lineRule="exact"/>
              <w:rPr>
                <w:rFonts w:ascii="標楷體" w:eastAsia="標楷體" w:hAnsi="標楷體"/>
                <w:szCs w:val="24"/>
              </w:rPr>
            </w:pPr>
            <w:r w:rsidRPr="00FA33BF">
              <w:rPr>
                <w:rFonts w:ascii="標楷體" w:eastAsia="標楷體" w:hAnsi="標楷體" w:hint="eastAsia"/>
                <w:szCs w:val="24"/>
              </w:rPr>
              <w:t>專門職業及技術人員檢覈及格人員於考試項目之評分標準</w:t>
            </w:r>
          </w:p>
        </w:tc>
        <w:tc>
          <w:tcPr>
            <w:tcW w:w="3969" w:type="dxa"/>
          </w:tcPr>
          <w:p w:rsidR="00FA33BF" w:rsidRDefault="00FA33BF" w:rsidP="00E43B4B">
            <w:pPr>
              <w:spacing w:line="360" w:lineRule="exact"/>
              <w:jc w:val="both"/>
              <w:rPr>
                <w:rFonts w:ascii="標楷體" w:eastAsia="標楷體" w:hAnsi="標楷體"/>
                <w:szCs w:val="24"/>
              </w:rPr>
            </w:pPr>
            <w:r w:rsidRPr="00FA33BF">
              <w:rPr>
                <w:rFonts w:ascii="標楷體" w:eastAsia="標楷體" w:hAnsi="標楷體" w:hint="eastAsia"/>
                <w:szCs w:val="24"/>
              </w:rPr>
              <w:t>查陞任評分標準表之「考試」評比項目說明三、（六）及（七）規定，專門職業及技術人員高普考試及格(以下簡稱專技高普考)，且取得轉任相當職務公務人員任用資格者，比照公務人員高普考試等級計分；檢覈及銓定資格考試及格，比照公務人員高普考試各等級調降1分。茲以上開標準表「考試」項目，係以取得或轉任公務人員任用資格，始得比照公務人員高普考試等級採計或調降計分。至專門職業及技術人員檢覈及格者，依「專門職業及技術人員轉任公務人員條例」第2條有關專技高普考試及格者不包括檢覈及格人員之規定，不得轉任公務人員取得公務人員任用資格，爰不合採計陞任評分；惟如檢覈及格所取得之證照如與擬陞任職務等級相當、工作性質相同者，得視職缺之職責程度及業務性質，經甄審委員會審查後，依陞任評分標準表「考試」評比項目說明五之規定採計加1分。</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t>行政院人事行政</w:t>
            </w:r>
            <w:r w:rsidRPr="00FA33BF">
              <w:rPr>
                <w:rFonts w:ascii="標楷體" w:eastAsia="標楷體" w:hAnsi="標楷體" w:hint="eastAsia"/>
                <w:szCs w:val="24"/>
              </w:rPr>
              <w:t>總處103年11月12日總處組字第1030051521號E-mail回函</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Pr="00FA33BF" w:rsidRDefault="00FA33BF" w:rsidP="00FA33BF">
            <w:pPr>
              <w:spacing w:line="360" w:lineRule="exact"/>
              <w:jc w:val="center"/>
              <w:rPr>
                <w:rFonts w:ascii="標楷體" w:eastAsia="標楷體" w:hAnsi="標楷體"/>
                <w:szCs w:val="24"/>
              </w:rPr>
            </w:pPr>
            <w:r w:rsidRPr="00FA33BF">
              <w:rPr>
                <w:rFonts w:ascii="標楷體" w:eastAsia="標楷體" w:hAnsi="標楷體" w:hint="eastAsia"/>
                <w:szCs w:val="24"/>
              </w:rPr>
              <w:t>訓練及進修</w:t>
            </w:r>
          </w:p>
        </w:tc>
        <w:tc>
          <w:tcPr>
            <w:tcW w:w="1984" w:type="dxa"/>
          </w:tcPr>
          <w:p w:rsidR="00FA33BF" w:rsidRDefault="00FA33BF" w:rsidP="00FA33BF">
            <w:pPr>
              <w:spacing w:line="360" w:lineRule="exact"/>
              <w:rPr>
                <w:rFonts w:ascii="標楷體" w:eastAsia="標楷體" w:hAnsi="標楷體"/>
                <w:szCs w:val="24"/>
              </w:rPr>
            </w:pPr>
            <w:r w:rsidRPr="00FA33BF">
              <w:rPr>
                <w:rFonts w:ascii="標楷體" w:eastAsia="標楷體" w:hAnsi="標楷體" w:hint="eastAsia"/>
                <w:szCs w:val="24"/>
              </w:rPr>
              <w:t>公務人員參加晉升官等訓練無論是否合格，其上課時數均不得重複訓練及進修項目採計評分</w:t>
            </w:r>
          </w:p>
        </w:tc>
        <w:tc>
          <w:tcPr>
            <w:tcW w:w="3969" w:type="dxa"/>
          </w:tcPr>
          <w:p w:rsidR="00FA33BF" w:rsidRDefault="00FA33BF" w:rsidP="00E43B4B">
            <w:pPr>
              <w:spacing w:line="360" w:lineRule="exact"/>
              <w:jc w:val="both"/>
              <w:rPr>
                <w:rFonts w:ascii="標楷體" w:eastAsia="標楷體" w:hAnsi="標楷體"/>
                <w:szCs w:val="24"/>
              </w:rPr>
            </w:pPr>
            <w:r w:rsidRPr="00FA33BF">
              <w:rPr>
                <w:rFonts w:ascii="標楷體" w:eastAsia="標楷體" w:hAnsi="標楷體" w:hint="eastAsia"/>
                <w:szCs w:val="24"/>
              </w:rPr>
              <w:t>公務人員晉升官等訓練及升官等考試，均以取得高一官等任用資格為目的；其於公務人員陞任評分標準表均採一致之評分標準。又公務人員參加晉升官等訓練人員於訓練期滿並經核定成績及格者，始發給訓練合格證書；是該訓練期間之上課時數為取得合格證書之必要條件，因此，公務人員參加晉升官等訓練無論是否合格，其上課時數均不得重複於陞任評分標準表之「個別選項」－「訓練及進修」項目採計評分。</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t>行政院人事行政</w:t>
            </w:r>
            <w:r w:rsidRPr="00FA33BF">
              <w:rPr>
                <w:rFonts w:ascii="標楷體" w:eastAsia="標楷體" w:hAnsi="標楷體" w:hint="eastAsia"/>
                <w:szCs w:val="24"/>
              </w:rPr>
              <w:t>總處103年10月2日總處組字第1030046858號函</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Pr="00FA33BF" w:rsidRDefault="00FA33BF" w:rsidP="00FA33BF">
            <w:pPr>
              <w:spacing w:line="360" w:lineRule="exact"/>
              <w:jc w:val="center"/>
              <w:rPr>
                <w:rFonts w:ascii="標楷體" w:eastAsia="標楷體" w:hAnsi="標楷體"/>
                <w:szCs w:val="24"/>
              </w:rPr>
            </w:pPr>
            <w:r w:rsidRPr="00FA33BF">
              <w:rPr>
                <w:rFonts w:ascii="標楷體" w:eastAsia="標楷體" w:hAnsi="標楷體" w:hint="eastAsia"/>
                <w:szCs w:val="24"/>
              </w:rPr>
              <w:t>訓練及進修</w:t>
            </w:r>
          </w:p>
        </w:tc>
        <w:tc>
          <w:tcPr>
            <w:tcW w:w="1984" w:type="dxa"/>
          </w:tcPr>
          <w:p w:rsidR="00FA33BF" w:rsidRDefault="00FA33BF" w:rsidP="00FA33BF">
            <w:pPr>
              <w:spacing w:line="360" w:lineRule="exact"/>
              <w:rPr>
                <w:rFonts w:ascii="標楷體" w:eastAsia="標楷體" w:hAnsi="標楷體"/>
                <w:szCs w:val="24"/>
              </w:rPr>
            </w:pPr>
            <w:r w:rsidRPr="00FA33BF">
              <w:rPr>
                <w:rFonts w:ascii="標楷體" w:eastAsia="標楷體" w:hAnsi="標楷體" w:hint="eastAsia"/>
                <w:szCs w:val="24"/>
              </w:rPr>
              <w:t>公務人員自行選修或參加碩士學分班後考取碩士班，前所修學分或經抵免者，得否列入訓練及進修項目採計評分</w:t>
            </w:r>
          </w:p>
        </w:tc>
        <w:tc>
          <w:tcPr>
            <w:tcW w:w="3969" w:type="dxa"/>
          </w:tcPr>
          <w:p w:rsidR="00FA33BF" w:rsidRPr="00FA33BF" w:rsidRDefault="00FA33BF" w:rsidP="00E43B4B">
            <w:pPr>
              <w:pStyle w:val="a3"/>
              <w:numPr>
                <w:ilvl w:val="0"/>
                <w:numId w:val="3"/>
              </w:numPr>
              <w:spacing w:line="360" w:lineRule="exact"/>
              <w:ind w:leftChars="0"/>
              <w:jc w:val="both"/>
              <w:rPr>
                <w:rFonts w:ascii="標楷體" w:eastAsia="標楷體" w:hAnsi="標楷體"/>
                <w:szCs w:val="24"/>
              </w:rPr>
            </w:pPr>
            <w:r w:rsidRPr="00FA33BF">
              <w:rPr>
                <w:rFonts w:ascii="標楷體" w:eastAsia="標楷體" w:hAnsi="標楷體" w:hint="eastAsia"/>
                <w:szCs w:val="24"/>
              </w:rPr>
              <w:t>依原人事局94年9月16日局力字第0940025744號書函略以，公務人員經機關薦送或非經機關薦送，以取得學位為目的之進修者，與一般訓練以提升工作效能、增進學識經驗為目的者不同；且受考人於修業期滿取得學位，係於「學歷」項目採計，其修業期間之修業學分，係為取得學位之必要過程及要件，兩者具有因果關聯，尚難重複採計為訓練評分。至有關受考人於參加甄審未取得學位時，其修習學分得否於陞任評分標準表「訓練及進修」項目採計一節，因不符教育與訓練分別採計之意旨，未便採行。</w:t>
            </w:r>
          </w:p>
          <w:p w:rsidR="00FA33BF" w:rsidRPr="00FA33BF" w:rsidRDefault="00FA33BF" w:rsidP="00E43B4B">
            <w:pPr>
              <w:pStyle w:val="a3"/>
              <w:numPr>
                <w:ilvl w:val="0"/>
                <w:numId w:val="3"/>
              </w:numPr>
              <w:spacing w:line="360" w:lineRule="exact"/>
              <w:ind w:leftChars="0"/>
              <w:jc w:val="both"/>
              <w:rPr>
                <w:rFonts w:ascii="標楷體" w:eastAsia="標楷體" w:hAnsi="標楷體"/>
                <w:szCs w:val="24"/>
              </w:rPr>
            </w:pPr>
            <w:r w:rsidRPr="00FA33BF">
              <w:rPr>
                <w:rFonts w:ascii="標楷體" w:eastAsia="標楷體" w:hAnsi="標楷體" w:hint="eastAsia"/>
                <w:szCs w:val="24"/>
              </w:rPr>
              <w:t>有關某甲自行申請與擬任職務相關之學分班進修，經機關同意後再考取研究所，其學分應如何採計評分疑義一節，茲以類此學分班雖與取得學位為目的之進修不盡相同，惟參酌前開原人事局94年9月16日函釋意旨，其於就讀研究所前修習之6學分業經校方同意抵免部分，已構成取得學位之必要過程及要件，自應俟取得學位後以「學歷」項目計分，不得重複於「訓練及進修」項目採計評分；至其考取研究所前所修學分未經抵免者，得依</w:t>
            </w:r>
            <w:r w:rsidR="00E43B4B">
              <w:rPr>
                <w:rFonts w:ascii="標楷體" w:eastAsia="標楷體" w:hAnsi="標楷體" w:hint="eastAsia"/>
                <w:szCs w:val="24"/>
              </w:rPr>
              <w:t>服務機關</w:t>
            </w:r>
            <w:r w:rsidRPr="00FA33BF">
              <w:rPr>
                <w:rFonts w:ascii="標楷體" w:eastAsia="標楷體" w:hAnsi="標楷體" w:hint="eastAsia"/>
                <w:szCs w:val="24"/>
              </w:rPr>
              <w:t>公務人員陞任評分規定採計評分。</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t>行政院人事行政</w:t>
            </w:r>
            <w:r w:rsidRPr="0085181F">
              <w:rPr>
                <w:rFonts w:ascii="標楷體" w:eastAsia="標楷體" w:hAnsi="標楷體" w:hint="eastAsia"/>
              </w:rPr>
              <w:t>總處</w:t>
            </w:r>
            <w:r>
              <w:rPr>
                <w:rFonts w:ascii="標楷體" w:eastAsia="標楷體" w:cs="標楷體"/>
                <w:kern w:val="0"/>
                <w:szCs w:val="24"/>
                <w:lang w:val="zh-TW"/>
              </w:rPr>
              <w:t>10</w:t>
            </w:r>
            <w:r>
              <w:rPr>
                <w:rFonts w:ascii="標楷體" w:eastAsia="標楷體" w:cs="標楷體" w:hint="eastAsia"/>
                <w:kern w:val="0"/>
                <w:szCs w:val="24"/>
                <w:lang w:val="zh-TW"/>
              </w:rPr>
              <w:t>4年2月24日</w:t>
            </w:r>
            <w:r w:rsidRPr="0085181F">
              <w:rPr>
                <w:rFonts w:ascii="標楷體" w:eastAsia="標楷體" w:hAnsi="標楷體" w:hint="eastAsia"/>
              </w:rPr>
              <w:t>總處組字</w:t>
            </w:r>
            <w:r>
              <w:rPr>
                <w:rFonts w:ascii="標楷體" w:eastAsia="標楷體" w:cs="標楷體" w:hint="eastAsia"/>
                <w:kern w:val="0"/>
                <w:szCs w:val="24"/>
                <w:lang w:val="zh-TW"/>
              </w:rPr>
              <w:t>第</w:t>
            </w:r>
            <w:r>
              <w:rPr>
                <w:rFonts w:ascii="標楷體" w:eastAsia="標楷體" w:cs="標楷體"/>
                <w:kern w:val="0"/>
                <w:szCs w:val="24"/>
                <w:lang w:val="zh-TW"/>
              </w:rPr>
              <w:t>10</w:t>
            </w:r>
            <w:r>
              <w:rPr>
                <w:rFonts w:ascii="標楷體" w:eastAsia="標楷體" w:cs="標楷體" w:hint="eastAsia"/>
                <w:kern w:val="0"/>
                <w:szCs w:val="24"/>
                <w:lang w:val="zh-TW"/>
              </w:rPr>
              <w:t>40024533號</w:t>
            </w:r>
            <w:r w:rsidRPr="0085181F">
              <w:rPr>
                <w:rFonts w:ascii="標楷體" w:eastAsia="標楷體" w:hAnsi="標楷體" w:hint="eastAsia"/>
              </w:rPr>
              <w:t>函</w:t>
            </w:r>
          </w:p>
        </w:tc>
      </w:tr>
      <w:tr w:rsidR="00FA33BF" w:rsidTr="0099051F">
        <w:tc>
          <w:tcPr>
            <w:tcW w:w="567" w:type="dxa"/>
          </w:tcPr>
          <w:p w:rsidR="00FA33BF" w:rsidRPr="00FA33BF" w:rsidRDefault="00FA33BF" w:rsidP="00FA33BF">
            <w:pPr>
              <w:pStyle w:val="a3"/>
              <w:numPr>
                <w:ilvl w:val="0"/>
                <w:numId w:val="2"/>
              </w:numPr>
              <w:spacing w:line="360" w:lineRule="exact"/>
              <w:ind w:leftChars="0"/>
              <w:jc w:val="center"/>
              <w:rPr>
                <w:rFonts w:ascii="標楷體" w:eastAsia="標楷體" w:hAnsi="標楷體"/>
                <w:szCs w:val="24"/>
              </w:rPr>
            </w:pPr>
          </w:p>
        </w:tc>
        <w:tc>
          <w:tcPr>
            <w:tcW w:w="567" w:type="dxa"/>
          </w:tcPr>
          <w:p w:rsidR="00FA33BF" w:rsidRDefault="00FA33BF" w:rsidP="00880029">
            <w:pPr>
              <w:jc w:val="both"/>
              <w:rPr>
                <w:rFonts w:ascii="標楷體" w:eastAsia="標楷體" w:hAnsi="標楷體"/>
              </w:rPr>
            </w:pPr>
            <w:r>
              <w:rPr>
                <w:rFonts w:ascii="標楷體" w:eastAsia="標楷體" w:hAnsi="標楷體" w:hint="eastAsia"/>
              </w:rPr>
              <w:t>附則</w:t>
            </w:r>
          </w:p>
        </w:tc>
        <w:tc>
          <w:tcPr>
            <w:tcW w:w="1984" w:type="dxa"/>
          </w:tcPr>
          <w:p w:rsidR="00FA33BF" w:rsidRDefault="00FA33BF" w:rsidP="00FA33BF">
            <w:pPr>
              <w:spacing w:line="360" w:lineRule="exact"/>
              <w:rPr>
                <w:rFonts w:ascii="標楷體" w:eastAsia="標楷體" w:hAnsi="標楷體"/>
                <w:szCs w:val="24"/>
              </w:rPr>
            </w:pPr>
            <w:r w:rsidRPr="00FA33BF">
              <w:rPr>
                <w:rFonts w:ascii="標楷體" w:eastAsia="標楷體" w:hAnsi="標楷體" w:hint="eastAsia"/>
                <w:szCs w:val="24"/>
              </w:rPr>
              <w:t>陞任評分標準表附則七「曾任他機關」之認定疑義</w:t>
            </w:r>
          </w:p>
        </w:tc>
        <w:tc>
          <w:tcPr>
            <w:tcW w:w="3969" w:type="dxa"/>
          </w:tcPr>
          <w:p w:rsidR="00FA33BF" w:rsidRDefault="00FA33BF" w:rsidP="00E43B4B">
            <w:pPr>
              <w:spacing w:line="360" w:lineRule="exact"/>
              <w:jc w:val="both"/>
              <w:rPr>
                <w:rFonts w:ascii="標楷體" w:eastAsia="標楷體" w:hAnsi="標楷體"/>
                <w:szCs w:val="24"/>
              </w:rPr>
            </w:pPr>
            <w:r w:rsidRPr="00FA33BF">
              <w:rPr>
                <w:rFonts w:ascii="標楷體" w:eastAsia="標楷體" w:hAnsi="標楷體" w:hint="eastAsia"/>
                <w:szCs w:val="24"/>
              </w:rPr>
              <w:t>陞任評分標準表附則七規定意旨，係考量由他機關調進人員，對新職業務尚不熟悉，工作表現亦無從衡量下，爰授權機關甄審委員會視業務需要，針對渠等人員另訂採計他機關服務期間年資、考績、獎懲之規定。本案所詢曾任他機關服務期間之年資、考績及獎懲是否包含本機關服務期間一節，以上開規定他機關之範圍並未包含本機關，爰曾任本機關服務之年資、考績及獎懲如符合上開陞任評分標準表規定，仍得採計評分。</w:t>
            </w:r>
          </w:p>
        </w:tc>
        <w:tc>
          <w:tcPr>
            <w:tcW w:w="1985" w:type="dxa"/>
          </w:tcPr>
          <w:p w:rsidR="00FA33BF" w:rsidRDefault="00FA33BF" w:rsidP="00FA33BF">
            <w:pPr>
              <w:spacing w:line="360" w:lineRule="exact"/>
              <w:rPr>
                <w:rFonts w:ascii="標楷體" w:eastAsia="標楷體" w:hAnsi="標楷體"/>
                <w:szCs w:val="24"/>
              </w:rPr>
            </w:pPr>
            <w:r>
              <w:rPr>
                <w:rFonts w:ascii="標楷體" w:eastAsia="標楷體" w:hAnsi="標楷體" w:hint="eastAsia"/>
                <w:szCs w:val="24"/>
              </w:rPr>
              <w:t>行政院人事行政</w:t>
            </w:r>
            <w:r w:rsidR="00F92A25" w:rsidRPr="00F92A25">
              <w:rPr>
                <w:rFonts w:ascii="標楷體" w:eastAsia="標楷體" w:hAnsi="標楷體" w:hint="eastAsia"/>
                <w:szCs w:val="24"/>
              </w:rPr>
              <w:t>總處101年1月9日總處組字第1000063608號E-mail回函</w:t>
            </w:r>
          </w:p>
        </w:tc>
      </w:tr>
    </w:tbl>
    <w:p w:rsidR="002F493A" w:rsidRPr="002F493A" w:rsidRDefault="002F493A" w:rsidP="002F493A">
      <w:pPr>
        <w:spacing w:line="500" w:lineRule="exact"/>
        <w:rPr>
          <w:rFonts w:ascii="標楷體" w:eastAsia="標楷體" w:hAnsi="標楷體"/>
          <w:szCs w:val="24"/>
        </w:rPr>
      </w:pPr>
    </w:p>
    <w:sectPr w:rsidR="002F493A" w:rsidRPr="002F493A" w:rsidSect="0083695B">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6E1" w:rsidRDefault="009006E1" w:rsidP="00F92A25">
      <w:r>
        <w:separator/>
      </w:r>
    </w:p>
  </w:endnote>
  <w:endnote w:type="continuationSeparator" w:id="0">
    <w:p w:rsidR="009006E1" w:rsidRDefault="009006E1" w:rsidP="00F92A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2895429"/>
      <w:docPartObj>
        <w:docPartGallery w:val="Page Numbers (Bottom of Page)"/>
        <w:docPartUnique/>
      </w:docPartObj>
    </w:sdtPr>
    <w:sdtEndPr>
      <w:rPr>
        <w:rFonts w:ascii="標楷體" w:eastAsia="標楷體" w:hAnsi="標楷體"/>
      </w:rPr>
    </w:sdtEndPr>
    <w:sdtContent>
      <w:sdt>
        <w:sdtPr>
          <w:id w:val="-1669238322"/>
          <w:docPartObj>
            <w:docPartGallery w:val="Page Numbers (Top of Page)"/>
            <w:docPartUnique/>
          </w:docPartObj>
        </w:sdtPr>
        <w:sdtEndPr>
          <w:rPr>
            <w:rFonts w:ascii="標楷體" w:eastAsia="標楷體" w:hAnsi="標楷體"/>
          </w:rPr>
        </w:sdtEndPr>
        <w:sdtContent>
          <w:p w:rsidR="00F92A25" w:rsidRPr="00F92A25" w:rsidRDefault="00F92A25">
            <w:pPr>
              <w:pStyle w:val="a7"/>
              <w:jc w:val="center"/>
              <w:rPr>
                <w:rFonts w:ascii="標楷體" w:eastAsia="標楷體" w:hAnsi="標楷體"/>
              </w:rPr>
            </w:pPr>
            <w:r w:rsidRPr="00F92A25">
              <w:rPr>
                <w:rFonts w:ascii="標楷體" w:eastAsia="標楷體" w:hAnsi="標楷體" w:hint="eastAsia"/>
              </w:rPr>
              <w:t>第</w:t>
            </w:r>
            <w:r w:rsidRPr="00F92A25">
              <w:rPr>
                <w:rFonts w:ascii="標楷體" w:eastAsia="標楷體" w:hAnsi="標楷體"/>
                <w:lang w:val="zh-TW"/>
              </w:rPr>
              <w:t xml:space="preserve"> </w:t>
            </w:r>
            <w:r w:rsidR="0083695B" w:rsidRPr="00F92A25">
              <w:rPr>
                <w:rFonts w:ascii="標楷體" w:eastAsia="標楷體" w:hAnsi="標楷體"/>
                <w:bCs/>
              </w:rPr>
              <w:fldChar w:fldCharType="begin"/>
            </w:r>
            <w:r w:rsidRPr="00F92A25">
              <w:rPr>
                <w:rFonts w:ascii="標楷體" w:eastAsia="標楷體" w:hAnsi="標楷體"/>
                <w:bCs/>
              </w:rPr>
              <w:instrText>PAGE</w:instrText>
            </w:r>
            <w:r w:rsidR="0083695B" w:rsidRPr="00F92A25">
              <w:rPr>
                <w:rFonts w:ascii="標楷體" w:eastAsia="標楷體" w:hAnsi="標楷體"/>
                <w:bCs/>
              </w:rPr>
              <w:fldChar w:fldCharType="separate"/>
            </w:r>
            <w:r w:rsidR="009006E1">
              <w:rPr>
                <w:rFonts w:ascii="標楷體" w:eastAsia="標楷體" w:hAnsi="標楷體"/>
                <w:bCs/>
                <w:noProof/>
              </w:rPr>
              <w:t>1</w:t>
            </w:r>
            <w:r w:rsidR="0083695B" w:rsidRPr="00F92A25">
              <w:rPr>
                <w:rFonts w:ascii="標楷體" w:eastAsia="標楷體" w:hAnsi="標楷體"/>
                <w:bCs/>
              </w:rPr>
              <w:fldChar w:fldCharType="end"/>
            </w:r>
            <w:r w:rsidRPr="00F92A25">
              <w:rPr>
                <w:rFonts w:ascii="標楷體" w:eastAsia="標楷體" w:hAnsi="標楷體"/>
                <w:lang w:val="zh-TW"/>
              </w:rPr>
              <w:t xml:space="preserve"> </w:t>
            </w:r>
            <w:r w:rsidRPr="00F92A25">
              <w:rPr>
                <w:rFonts w:ascii="標楷體" w:eastAsia="標楷體" w:hAnsi="標楷體" w:hint="eastAsia"/>
                <w:lang w:val="zh-TW"/>
              </w:rPr>
              <w:t>頁，共</w:t>
            </w:r>
            <w:r w:rsidRPr="00F92A25">
              <w:rPr>
                <w:rFonts w:ascii="標楷體" w:eastAsia="標楷體" w:hAnsi="標楷體"/>
                <w:lang w:val="zh-TW"/>
              </w:rPr>
              <w:t xml:space="preserve"> </w:t>
            </w:r>
            <w:r w:rsidR="0083695B" w:rsidRPr="00F92A25">
              <w:rPr>
                <w:rFonts w:ascii="標楷體" w:eastAsia="標楷體" w:hAnsi="標楷體"/>
                <w:bCs/>
              </w:rPr>
              <w:fldChar w:fldCharType="begin"/>
            </w:r>
            <w:r w:rsidRPr="00F92A25">
              <w:rPr>
                <w:rFonts w:ascii="標楷體" w:eastAsia="標楷體" w:hAnsi="標楷體"/>
                <w:bCs/>
              </w:rPr>
              <w:instrText>NUMPAGES</w:instrText>
            </w:r>
            <w:r w:rsidR="0083695B" w:rsidRPr="00F92A25">
              <w:rPr>
                <w:rFonts w:ascii="標楷體" w:eastAsia="標楷體" w:hAnsi="標楷體"/>
                <w:bCs/>
              </w:rPr>
              <w:fldChar w:fldCharType="separate"/>
            </w:r>
            <w:r w:rsidR="009006E1">
              <w:rPr>
                <w:rFonts w:ascii="標楷體" w:eastAsia="標楷體" w:hAnsi="標楷體"/>
                <w:bCs/>
                <w:noProof/>
              </w:rPr>
              <w:t>1</w:t>
            </w:r>
            <w:r w:rsidR="0083695B" w:rsidRPr="00F92A25">
              <w:rPr>
                <w:rFonts w:ascii="標楷體" w:eastAsia="標楷體" w:hAnsi="標楷體"/>
                <w:bCs/>
              </w:rPr>
              <w:fldChar w:fldCharType="end"/>
            </w:r>
            <w:r w:rsidRPr="00F92A25">
              <w:rPr>
                <w:rFonts w:ascii="標楷體" w:eastAsia="標楷體" w:hAnsi="標楷體" w:hint="eastAsia"/>
                <w:bCs/>
              </w:rPr>
              <w:t xml:space="preserve"> 頁</w:t>
            </w:r>
          </w:p>
        </w:sdtContent>
      </w:sdt>
    </w:sdtContent>
  </w:sdt>
  <w:p w:rsidR="00F92A25" w:rsidRDefault="00F92A2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6E1" w:rsidRDefault="009006E1" w:rsidP="00F92A25">
      <w:r>
        <w:separator/>
      </w:r>
    </w:p>
  </w:footnote>
  <w:footnote w:type="continuationSeparator" w:id="0">
    <w:p w:rsidR="009006E1" w:rsidRDefault="009006E1" w:rsidP="00F92A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1609"/>
    <w:multiLevelType w:val="hybridMultilevel"/>
    <w:tmpl w:val="1A84831C"/>
    <w:lvl w:ilvl="0" w:tplc="C5A25B5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AE710F"/>
    <w:multiLevelType w:val="hybridMultilevel"/>
    <w:tmpl w:val="1B18DECE"/>
    <w:lvl w:ilvl="0" w:tplc="C5A25B52">
      <w:start w:val="1"/>
      <w:numFmt w:val="taiwaneseCountingThousand"/>
      <w:lvlText w:val="%1、"/>
      <w:lvlJc w:val="left"/>
      <w:pPr>
        <w:ind w:left="725" w:hanging="480"/>
      </w:pPr>
      <w:rPr>
        <w:rFonts w:hint="eastAsia"/>
      </w:rPr>
    </w:lvl>
    <w:lvl w:ilvl="1" w:tplc="04090019" w:tentative="1">
      <w:start w:val="1"/>
      <w:numFmt w:val="ideographTraditional"/>
      <w:lvlText w:val="%2、"/>
      <w:lvlJc w:val="left"/>
      <w:pPr>
        <w:ind w:left="1205" w:hanging="480"/>
      </w:pPr>
    </w:lvl>
    <w:lvl w:ilvl="2" w:tplc="0409001B" w:tentative="1">
      <w:start w:val="1"/>
      <w:numFmt w:val="lowerRoman"/>
      <w:lvlText w:val="%3."/>
      <w:lvlJc w:val="right"/>
      <w:pPr>
        <w:ind w:left="1685" w:hanging="480"/>
      </w:pPr>
    </w:lvl>
    <w:lvl w:ilvl="3" w:tplc="0409000F" w:tentative="1">
      <w:start w:val="1"/>
      <w:numFmt w:val="decimal"/>
      <w:lvlText w:val="%4."/>
      <w:lvlJc w:val="left"/>
      <w:pPr>
        <w:ind w:left="2165" w:hanging="480"/>
      </w:pPr>
    </w:lvl>
    <w:lvl w:ilvl="4" w:tplc="04090019" w:tentative="1">
      <w:start w:val="1"/>
      <w:numFmt w:val="ideographTraditional"/>
      <w:lvlText w:val="%5、"/>
      <w:lvlJc w:val="left"/>
      <w:pPr>
        <w:ind w:left="2645" w:hanging="480"/>
      </w:pPr>
    </w:lvl>
    <w:lvl w:ilvl="5" w:tplc="0409001B" w:tentative="1">
      <w:start w:val="1"/>
      <w:numFmt w:val="lowerRoman"/>
      <w:lvlText w:val="%6."/>
      <w:lvlJc w:val="right"/>
      <w:pPr>
        <w:ind w:left="3125" w:hanging="480"/>
      </w:pPr>
    </w:lvl>
    <w:lvl w:ilvl="6" w:tplc="0409000F" w:tentative="1">
      <w:start w:val="1"/>
      <w:numFmt w:val="decimal"/>
      <w:lvlText w:val="%7."/>
      <w:lvlJc w:val="left"/>
      <w:pPr>
        <w:ind w:left="3605" w:hanging="480"/>
      </w:pPr>
    </w:lvl>
    <w:lvl w:ilvl="7" w:tplc="04090019" w:tentative="1">
      <w:start w:val="1"/>
      <w:numFmt w:val="ideographTraditional"/>
      <w:lvlText w:val="%8、"/>
      <w:lvlJc w:val="left"/>
      <w:pPr>
        <w:ind w:left="4085" w:hanging="480"/>
      </w:pPr>
    </w:lvl>
    <w:lvl w:ilvl="8" w:tplc="0409001B" w:tentative="1">
      <w:start w:val="1"/>
      <w:numFmt w:val="lowerRoman"/>
      <w:lvlText w:val="%9."/>
      <w:lvlJc w:val="right"/>
      <w:pPr>
        <w:ind w:left="4565" w:hanging="480"/>
      </w:pPr>
    </w:lvl>
  </w:abstractNum>
  <w:abstractNum w:abstractNumId="2">
    <w:nsid w:val="42B85BD9"/>
    <w:multiLevelType w:val="hybridMultilevel"/>
    <w:tmpl w:val="B91C15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7DB5"/>
    <w:rsid w:val="00074F96"/>
    <w:rsid w:val="002044DB"/>
    <w:rsid w:val="002F493A"/>
    <w:rsid w:val="00335D21"/>
    <w:rsid w:val="00367B10"/>
    <w:rsid w:val="003D7E48"/>
    <w:rsid w:val="004B05B4"/>
    <w:rsid w:val="005448DC"/>
    <w:rsid w:val="006A7DB5"/>
    <w:rsid w:val="00726A16"/>
    <w:rsid w:val="0083695B"/>
    <w:rsid w:val="009006E1"/>
    <w:rsid w:val="0099051F"/>
    <w:rsid w:val="00996D35"/>
    <w:rsid w:val="00A72303"/>
    <w:rsid w:val="00BA43C6"/>
    <w:rsid w:val="00C2564A"/>
    <w:rsid w:val="00E43B4B"/>
    <w:rsid w:val="00EE6AAD"/>
    <w:rsid w:val="00F11977"/>
    <w:rsid w:val="00F92A25"/>
    <w:rsid w:val="00FA33B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95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DB5"/>
    <w:pPr>
      <w:ind w:leftChars="200" w:left="480"/>
    </w:pPr>
  </w:style>
  <w:style w:type="table" w:styleId="a4">
    <w:name w:val="Table Grid"/>
    <w:basedOn w:val="a1"/>
    <w:uiPriority w:val="59"/>
    <w:rsid w:val="00FA33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92A25"/>
    <w:pPr>
      <w:tabs>
        <w:tab w:val="center" w:pos="4153"/>
        <w:tab w:val="right" w:pos="8306"/>
      </w:tabs>
      <w:snapToGrid w:val="0"/>
    </w:pPr>
    <w:rPr>
      <w:sz w:val="20"/>
      <w:szCs w:val="20"/>
    </w:rPr>
  </w:style>
  <w:style w:type="character" w:customStyle="1" w:styleId="a6">
    <w:name w:val="頁首 字元"/>
    <w:basedOn w:val="a0"/>
    <w:link w:val="a5"/>
    <w:uiPriority w:val="99"/>
    <w:rsid w:val="00F92A25"/>
    <w:rPr>
      <w:sz w:val="20"/>
      <w:szCs w:val="20"/>
    </w:rPr>
  </w:style>
  <w:style w:type="paragraph" w:styleId="a7">
    <w:name w:val="footer"/>
    <w:basedOn w:val="a"/>
    <w:link w:val="a8"/>
    <w:uiPriority w:val="99"/>
    <w:unhideWhenUsed/>
    <w:rsid w:val="00F92A25"/>
    <w:pPr>
      <w:tabs>
        <w:tab w:val="center" w:pos="4153"/>
        <w:tab w:val="right" w:pos="8306"/>
      </w:tabs>
      <w:snapToGrid w:val="0"/>
    </w:pPr>
    <w:rPr>
      <w:sz w:val="20"/>
      <w:szCs w:val="20"/>
    </w:rPr>
  </w:style>
  <w:style w:type="character" w:customStyle="1" w:styleId="a8">
    <w:name w:val="頁尾 字元"/>
    <w:basedOn w:val="a0"/>
    <w:link w:val="a7"/>
    <w:uiPriority w:val="99"/>
    <w:rsid w:val="00F92A25"/>
    <w:rPr>
      <w:sz w:val="20"/>
      <w:szCs w:val="20"/>
    </w:rPr>
  </w:style>
  <w:style w:type="paragraph" w:styleId="a9">
    <w:name w:val="Balloon Text"/>
    <w:basedOn w:val="a"/>
    <w:link w:val="aa"/>
    <w:uiPriority w:val="99"/>
    <w:semiHidden/>
    <w:unhideWhenUsed/>
    <w:rsid w:val="003D7E4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D7E4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7DB5"/>
    <w:pPr>
      <w:ind w:leftChars="200" w:left="480"/>
    </w:pPr>
  </w:style>
  <w:style w:type="table" w:styleId="a4">
    <w:name w:val="Table Grid"/>
    <w:basedOn w:val="a1"/>
    <w:uiPriority w:val="59"/>
    <w:rsid w:val="00FA3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92A25"/>
    <w:pPr>
      <w:tabs>
        <w:tab w:val="center" w:pos="4153"/>
        <w:tab w:val="right" w:pos="8306"/>
      </w:tabs>
      <w:snapToGrid w:val="0"/>
    </w:pPr>
    <w:rPr>
      <w:sz w:val="20"/>
      <w:szCs w:val="20"/>
    </w:rPr>
  </w:style>
  <w:style w:type="character" w:customStyle="1" w:styleId="a6">
    <w:name w:val="頁首 字元"/>
    <w:basedOn w:val="a0"/>
    <w:link w:val="a5"/>
    <w:uiPriority w:val="99"/>
    <w:rsid w:val="00F92A25"/>
    <w:rPr>
      <w:sz w:val="20"/>
      <w:szCs w:val="20"/>
    </w:rPr>
  </w:style>
  <w:style w:type="paragraph" w:styleId="a7">
    <w:name w:val="footer"/>
    <w:basedOn w:val="a"/>
    <w:link w:val="a8"/>
    <w:uiPriority w:val="99"/>
    <w:unhideWhenUsed/>
    <w:rsid w:val="00F92A25"/>
    <w:pPr>
      <w:tabs>
        <w:tab w:val="center" w:pos="4153"/>
        <w:tab w:val="right" w:pos="8306"/>
      </w:tabs>
      <w:snapToGrid w:val="0"/>
    </w:pPr>
    <w:rPr>
      <w:sz w:val="20"/>
      <w:szCs w:val="20"/>
    </w:rPr>
  </w:style>
  <w:style w:type="character" w:customStyle="1" w:styleId="a8">
    <w:name w:val="頁尾 字元"/>
    <w:basedOn w:val="a0"/>
    <w:link w:val="a7"/>
    <w:uiPriority w:val="99"/>
    <w:rsid w:val="00F92A25"/>
    <w:rPr>
      <w:sz w:val="20"/>
      <w:szCs w:val="20"/>
    </w:rPr>
  </w:style>
  <w:style w:type="paragraph" w:styleId="a9">
    <w:name w:val="Balloon Text"/>
    <w:basedOn w:val="a"/>
    <w:link w:val="aa"/>
    <w:uiPriority w:val="99"/>
    <w:semiHidden/>
    <w:unhideWhenUsed/>
    <w:rsid w:val="003D7E4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D7E4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詹佳瑛</dc:creator>
  <cp:lastModifiedBy>人事室-貞怡</cp:lastModifiedBy>
  <cp:revision>2</cp:revision>
  <cp:lastPrinted>2015-08-18T03:25:00Z</cp:lastPrinted>
  <dcterms:created xsi:type="dcterms:W3CDTF">2015-08-18T03:27:00Z</dcterms:created>
  <dcterms:modified xsi:type="dcterms:W3CDTF">2015-08-18T03:27:00Z</dcterms:modified>
</cp:coreProperties>
</file>