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5B" w:rsidRDefault="00944DED">
      <w:pPr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sz w:val="32"/>
          <w:szCs w:val="28"/>
        </w:rPr>
        <w:t>臺</w:t>
      </w:r>
      <w:proofErr w:type="gramEnd"/>
      <w:r>
        <w:rPr>
          <w:rFonts w:ascii="標楷體" w:eastAsia="標楷體" w:hAnsi="標楷體"/>
          <w:sz w:val="32"/>
          <w:szCs w:val="28"/>
        </w:rPr>
        <w:t>南市政府教育局</w:t>
      </w:r>
      <w:proofErr w:type="gramStart"/>
      <w:r>
        <w:rPr>
          <w:rFonts w:ascii="標楷體" w:eastAsia="標楷體" w:hAnsi="標楷體"/>
          <w:sz w:val="32"/>
          <w:szCs w:val="28"/>
        </w:rPr>
        <w:t>110</w:t>
      </w:r>
      <w:proofErr w:type="gramEnd"/>
      <w:r>
        <w:rPr>
          <w:rFonts w:ascii="標楷體" w:eastAsia="標楷體" w:hAnsi="標楷體"/>
          <w:sz w:val="32"/>
          <w:szCs w:val="28"/>
        </w:rPr>
        <w:t>年度品德教育主題閱讀推動實施計畫</w:t>
      </w:r>
    </w:p>
    <w:p w:rsidR="00E76D5B" w:rsidRDefault="00944DED">
      <w:pPr>
        <w:jc w:val="center"/>
      </w:pPr>
      <w:r>
        <w:rPr>
          <w:rFonts w:ascii="標楷體" w:eastAsia="標楷體" w:hAnsi="標楷體"/>
          <w:sz w:val="40"/>
          <w:szCs w:val="40"/>
        </w:rPr>
        <w:t>--</w:t>
      </w:r>
      <w:r>
        <w:rPr>
          <w:rFonts w:ascii="標楷體" w:eastAsia="標楷體" w:hAnsi="標楷體"/>
          <w:color w:val="0000FF"/>
          <w:sz w:val="40"/>
          <w:szCs w:val="40"/>
        </w:rPr>
        <w:t>品德啟航．</w:t>
      </w:r>
      <w:proofErr w:type="gramStart"/>
      <w:r>
        <w:rPr>
          <w:rFonts w:ascii="標楷體" w:eastAsia="標楷體" w:hAnsi="標楷體"/>
          <w:color w:val="0000FF"/>
          <w:sz w:val="40"/>
          <w:szCs w:val="40"/>
        </w:rPr>
        <w:t>喜閱校園</w:t>
      </w:r>
      <w:proofErr w:type="gramEnd"/>
      <w:r>
        <w:rPr>
          <w:rFonts w:ascii="標楷體" w:eastAsia="標楷體" w:hAnsi="標楷體"/>
          <w:sz w:val="40"/>
          <w:szCs w:val="40"/>
        </w:rPr>
        <w:t>--</w:t>
      </w:r>
    </w:p>
    <w:p w:rsidR="00E76D5B" w:rsidRDefault="00944DE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壹、依據：</w:t>
      </w:r>
    </w:p>
    <w:p w:rsidR="00E76D5B" w:rsidRDefault="00944DED">
      <w:pPr>
        <w:spacing w:line="420" w:lineRule="exact"/>
        <w:ind w:firstLine="56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南市教育局所屬學校</w:t>
      </w:r>
      <w:proofErr w:type="gramStart"/>
      <w:r>
        <w:rPr>
          <w:rFonts w:ascii="標楷體" w:eastAsia="標楷體" w:hAnsi="標楷體"/>
          <w:sz w:val="28"/>
          <w:szCs w:val="28"/>
        </w:rPr>
        <w:t>110</w:t>
      </w:r>
      <w:proofErr w:type="gramEnd"/>
      <w:r>
        <w:rPr>
          <w:rFonts w:ascii="標楷體" w:eastAsia="標楷體" w:hAnsi="標楷體"/>
          <w:sz w:val="28"/>
          <w:szCs w:val="28"/>
        </w:rPr>
        <w:t>年度品德領航學校教育推展計畫。</w:t>
      </w:r>
    </w:p>
    <w:p w:rsidR="00E76D5B" w:rsidRDefault="00E76D5B">
      <w:pPr>
        <w:spacing w:line="420" w:lineRule="exact"/>
        <w:ind w:firstLine="566"/>
        <w:rPr>
          <w:rFonts w:ascii="標楷體" w:eastAsia="標楷體" w:hAnsi="標楷體"/>
          <w:sz w:val="28"/>
          <w:szCs w:val="28"/>
        </w:rPr>
      </w:pPr>
    </w:p>
    <w:p w:rsidR="00E76D5B" w:rsidRDefault="00944DE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貳、目標：</w:t>
      </w:r>
    </w:p>
    <w:p w:rsidR="00E76D5B" w:rsidRDefault="00944DED">
      <w:pPr>
        <w:tabs>
          <w:tab w:val="left" w:pos="993"/>
        </w:tabs>
        <w:spacing w:line="420" w:lineRule="exact"/>
        <w:ind w:left="1131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一、型塑品德校園文化，整合校內外資源，以品德閱讀主題透過各種課程、活動、潛在課程，及發揮校長道德領導與教師典範之學習體驗。</w:t>
      </w:r>
    </w:p>
    <w:p w:rsidR="00E76D5B" w:rsidRDefault="00944DED">
      <w:pPr>
        <w:tabs>
          <w:tab w:val="left" w:pos="993"/>
        </w:tabs>
        <w:spacing w:line="420" w:lineRule="exact"/>
        <w:ind w:left="1129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二、結合本局「布可星球」或學校原有閱讀推廣活動，以品德主題規劃相關課程示例，落實推動教學。</w:t>
      </w:r>
    </w:p>
    <w:p w:rsidR="00E76D5B" w:rsidRDefault="00944DED">
      <w:pPr>
        <w:tabs>
          <w:tab w:val="left" w:pos="993"/>
        </w:tabs>
        <w:spacing w:line="420" w:lineRule="exact"/>
        <w:ind w:left="1129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三、營造友善校園環境，藉由閱讀</w:t>
      </w:r>
      <w:proofErr w:type="gramStart"/>
      <w:r>
        <w:rPr>
          <w:rFonts w:ascii="標楷體" w:eastAsia="標楷體" w:hAnsi="標楷體"/>
          <w:sz w:val="28"/>
          <w:szCs w:val="28"/>
        </w:rPr>
        <w:t>踐行</w:t>
      </w:r>
      <w:proofErr w:type="gramEnd"/>
      <w:r>
        <w:rPr>
          <w:rFonts w:ascii="標楷體" w:eastAsia="標楷體" w:hAnsi="標楷體"/>
          <w:sz w:val="28"/>
          <w:szCs w:val="28"/>
        </w:rPr>
        <w:t>品德教育核心價值、訓練社交技巧及實施情緒教育，創造友善和諧的學習環境，減少</w:t>
      </w:r>
      <w:proofErr w:type="gramStart"/>
      <w:r>
        <w:rPr>
          <w:rFonts w:ascii="標楷體" w:eastAsia="標楷體" w:hAnsi="標楷體"/>
          <w:sz w:val="28"/>
          <w:szCs w:val="28"/>
        </w:rPr>
        <w:t>校園霸凌事件</w:t>
      </w:r>
      <w:proofErr w:type="gramEnd"/>
      <w:r>
        <w:rPr>
          <w:rFonts w:ascii="標楷體" w:eastAsia="標楷體" w:hAnsi="標楷體"/>
          <w:sz w:val="28"/>
          <w:szCs w:val="28"/>
        </w:rPr>
        <w:t>發生，營造溫馨有品的校園文化，彰顯品德教育實質效能。</w:t>
      </w:r>
    </w:p>
    <w:p w:rsidR="00E76D5B" w:rsidRDefault="00E76D5B">
      <w:pPr>
        <w:tabs>
          <w:tab w:val="left" w:pos="993"/>
        </w:tabs>
        <w:spacing w:line="420" w:lineRule="exact"/>
        <w:ind w:left="1129" w:hanging="563"/>
        <w:rPr>
          <w:rFonts w:ascii="標楷體" w:eastAsia="標楷體" w:hAnsi="標楷體"/>
          <w:sz w:val="28"/>
          <w:szCs w:val="28"/>
        </w:rPr>
      </w:pPr>
    </w:p>
    <w:p w:rsidR="00E76D5B" w:rsidRDefault="00944DE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叁、辦理單位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76D5B" w:rsidRDefault="00944DE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南市政府教育局。</w:t>
      </w:r>
    </w:p>
    <w:p w:rsidR="00E76D5B" w:rsidRDefault="00944DE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南市東區勝利國小。</w:t>
      </w:r>
    </w:p>
    <w:p w:rsidR="00E76D5B" w:rsidRDefault="00E76D5B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76D5B" w:rsidRDefault="00944DE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肆、實施時程：</w:t>
      </w:r>
    </w:p>
    <w:p w:rsidR="00E76D5B" w:rsidRDefault="00944DE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一、計畫期程：自即日起至民國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日止。</w:t>
      </w:r>
    </w:p>
    <w:p w:rsidR="00E76D5B" w:rsidRDefault="00944DED">
      <w:pPr>
        <w:spacing w:line="420" w:lineRule="exact"/>
        <w:ind w:left="2226" w:hanging="22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二、實施時間：彈性課程（校訂課程）、閱讀課、兒童朝會、主題活動、學生營隊、導師時間。</w:t>
      </w:r>
    </w:p>
    <w:p w:rsidR="00E76D5B" w:rsidRDefault="00E76D5B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76D5B" w:rsidRDefault="00944DE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伍、實施方式：</w:t>
      </w:r>
    </w:p>
    <w:p w:rsidR="00E76D5B" w:rsidRDefault="00944DED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一、各校於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日前向承辦學校提出申請計畫（含經費概算表），由承辦學校辦理評選作業，經核定後公告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校每校補助經費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萬元。</w:t>
      </w:r>
    </w:p>
    <w:p w:rsidR="00E76D5B" w:rsidRDefault="00944DED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二、申請計畫學校可自行規劃辦理方式及內容（自訂各校主題閱讀活動或作家入校聊書），惟應產出教學示例成果。</w:t>
      </w:r>
    </w:p>
    <w:p w:rsidR="00E76D5B" w:rsidRDefault="00944DED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三、各校執行完成繳交成果電子檔（如附件，另需含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/>
          <w:sz w:val="28"/>
          <w:szCs w:val="28"/>
        </w:rPr>
        <w:t>份品德閱讀教學示例格式不拘）。</w:t>
      </w:r>
    </w:p>
    <w:p w:rsidR="00E76D5B" w:rsidRDefault="00E76D5B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76D5B" w:rsidRDefault="00944DE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陸、預期效益：</w:t>
      </w:r>
    </w:p>
    <w:p w:rsidR="00E76D5B" w:rsidRDefault="00944DED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一、逐年建立本市實際運用品德教學參考書單及教學示例，供全市教師教學參考。</w:t>
      </w:r>
    </w:p>
    <w:p w:rsidR="00E76D5B" w:rsidRDefault="00944DED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、鼓勵全市各校發展品德主題閱讀特色，建構品格卓越、友善風氣新校園。</w:t>
      </w:r>
    </w:p>
    <w:p w:rsidR="00E76D5B" w:rsidRDefault="00E76D5B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</w:p>
    <w:p w:rsidR="00E76D5B" w:rsidRDefault="00944DED">
      <w:pPr>
        <w:ind w:left="1417" w:hanging="1417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、獎勵：辦理本計畫有功人員，依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南市立高級中等以下學校教職員獎懲案件作業規定予以敘獎。</w:t>
      </w:r>
    </w:p>
    <w:p w:rsidR="00E76D5B" w:rsidRDefault="00944DE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捌、經費：由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南市政府教育局年度預算項下支應。</w:t>
      </w:r>
    </w:p>
    <w:p w:rsidR="00E76D5B" w:rsidRDefault="00E76D5B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E76D5B" w:rsidRDefault="00944DED">
      <w:pPr>
        <w:jc w:val="center"/>
      </w:pPr>
      <w:r>
        <w:rPr>
          <w:rFonts w:ascii="標楷體" w:eastAsia="標楷體" w:hAnsi="標楷體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-276862</wp:posOffset>
                </wp:positionV>
                <wp:extent cx="723903" cy="1403988"/>
                <wp:effectExtent l="0" t="0" r="0" b="571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76D5B" w:rsidRDefault="00944DE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1.8pt;width:57pt;height:110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" filled="f" stroked="f">
                <v:textbox style="mso-fit-shape-to-text:t">
                  <w:txbxContent>
                    <w:p w:rsidR="00E76D5B" w:rsidRDefault="00944DE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36"/>
          <w:szCs w:val="28"/>
        </w:rPr>
        <w:t>臺</w:t>
      </w:r>
      <w:proofErr w:type="gramEnd"/>
      <w:r>
        <w:rPr>
          <w:rFonts w:ascii="標楷體" w:eastAsia="標楷體" w:hAnsi="標楷體"/>
          <w:sz w:val="36"/>
          <w:szCs w:val="28"/>
        </w:rPr>
        <w:t>南市政府教育局</w:t>
      </w:r>
      <w:proofErr w:type="gramStart"/>
      <w:r>
        <w:rPr>
          <w:rFonts w:ascii="標楷體" w:eastAsia="標楷體" w:hAnsi="標楷體"/>
          <w:sz w:val="36"/>
          <w:szCs w:val="28"/>
        </w:rPr>
        <w:t>110</w:t>
      </w:r>
      <w:proofErr w:type="gramEnd"/>
      <w:r>
        <w:rPr>
          <w:rFonts w:ascii="標楷體" w:eastAsia="標楷體" w:hAnsi="標楷體"/>
          <w:sz w:val="36"/>
          <w:szCs w:val="28"/>
        </w:rPr>
        <w:t>年度品德教育主題閱讀推動成果</w:t>
      </w:r>
    </w:p>
    <w:tbl>
      <w:tblPr>
        <w:tblW w:w="95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9"/>
        <w:gridCol w:w="4748"/>
      </w:tblGrid>
      <w:tr w:rsidR="00E76D5B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4799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48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6D5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799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48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6D5B">
        <w:tblPrEx>
          <w:tblCellMar>
            <w:top w:w="0" w:type="dxa"/>
            <w:bottom w:w="0" w:type="dxa"/>
          </w:tblCellMar>
        </w:tblPrEx>
        <w:trPr>
          <w:trHeight w:val="3156"/>
        </w:trPr>
        <w:tc>
          <w:tcPr>
            <w:tcW w:w="4799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48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6D5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799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48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6D5B">
        <w:tblPrEx>
          <w:tblCellMar>
            <w:top w:w="0" w:type="dxa"/>
            <w:bottom w:w="0" w:type="dxa"/>
          </w:tblCellMar>
        </w:tblPrEx>
        <w:trPr>
          <w:trHeight w:val="3156"/>
        </w:trPr>
        <w:tc>
          <w:tcPr>
            <w:tcW w:w="4799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48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6D5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799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48" w:type="dxa"/>
            <w:tcBorders>
              <w:top w:val="single" w:sz="36" w:space="0" w:color="339966"/>
              <w:left w:val="single" w:sz="36" w:space="0" w:color="339966"/>
              <w:bottom w:val="single" w:sz="36" w:space="0" w:color="339966"/>
              <w:right w:val="single" w:sz="36" w:space="0" w:color="33996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D5B" w:rsidRDefault="00E76D5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76D5B" w:rsidRDefault="00944DED">
      <w:pPr>
        <w:widowControl/>
      </w:pPr>
      <w:r>
        <w:rPr>
          <w:rFonts w:ascii="標楷體" w:eastAsia="標楷體" w:hAnsi="標楷體"/>
          <w:sz w:val="28"/>
          <w:szCs w:val="28"/>
        </w:rPr>
        <w:t>●</w:t>
      </w:r>
      <w:r>
        <w:rPr>
          <w:rFonts w:ascii="標楷體" w:eastAsia="標楷體" w:hAnsi="標楷體"/>
          <w:sz w:val="28"/>
          <w:szCs w:val="28"/>
        </w:rPr>
        <w:t>教學示例成果，格式不拘。</w:t>
      </w:r>
    </w:p>
    <w:sectPr w:rsidR="00E76D5B">
      <w:footerReference w:type="default" r:id="rId7"/>
      <w:pgSz w:w="11906" w:h="16838"/>
      <w:pgMar w:top="1021" w:right="1021" w:bottom="1021" w:left="1021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ED" w:rsidRDefault="00944DED">
      <w:r>
        <w:separator/>
      </w:r>
    </w:p>
  </w:endnote>
  <w:endnote w:type="continuationSeparator" w:id="0">
    <w:p w:rsidR="00944DED" w:rsidRDefault="0094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98" w:rsidRDefault="00944DED">
    <w:pPr>
      <w:pStyle w:val="a7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53958">
      <w:rPr>
        <w:noProof/>
        <w:lang w:val="zh-TW"/>
      </w:rPr>
      <w:t>1</w:t>
    </w:r>
    <w:r>
      <w:rPr>
        <w:lang w:val="zh-TW"/>
      </w:rPr>
      <w:fldChar w:fldCharType="end"/>
    </w:r>
  </w:p>
  <w:p w:rsidR="003D4D98" w:rsidRDefault="00944D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ED" w:rsidRDefault="00944DED">
      <w:r>
        <w:rPr>
          <w:color w:val="000000"/>
        </w:rPr>
        <w:separator/>
      </w:r>
    </w:p>
  </w:footnote>
  <w:footnote w:type="continuationSeparator" w:id="0">
    <w:p w:rsidR="00944DED" w:rsidRDefault="0094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6D5B"/>
    <w:rsid w:val="00944DED"/>
    <w:rsid w:val="00D53958"/>
    <w:rsid w:val="00E7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啟承home</dc:creator>
  <cp:lastModifiedBy>studentOffice</cp:lastModifiedBy>
  <cp:revision>2</cp:revision>
  <cp:lastPrinted>2020-10-15T03:30:00Z</cp:lastPrinted>
  <dcterms:created xsi:type="dcterms:W3CDTF">2021-05-13T06:15:00Z</dcterms:created>
  <dcterms:modified xsi:type="dcterms:W3CDTF">2021-05-13T06:15:00Z</dcterms:modified>
</cp:coreProperties>
</file>