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67" w:rsidRPr="000D1313" w:rsidRDefault="00D67F67" w:rsidP="000D485D">
      <w:pPr>
        <w:spacing w:line="800" w:lineRule="exact"/>
        <w:ind w:left="1041" w:hanging="801"/>
        <w:jc w:val="center"/>
        <w:rPr>
          <w:rFonts w:ascii="Times New Roman" w:eastAsia="標楷體" w:hAnsi="Times New Roman"/>
          <w:b/>
          <w:sz w:val="40"/>
          <w:szCs w:val="40"/>
        </w:rPr>
      </w:pPr>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以對</w:t>
      </w:r>
      <w:r w:rsidRPr="000D1313">
        <w:rPr>
          <w:rFonts w:eastAsia="標楷體"/>
          <w:sz w:val="28"/>
          <w:szCs w:val="28"/>
        </w:rPr>
        <w:lastRenderedPageBreak/>
        <w:t>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C7EAD"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C7EA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w:t>
            </w:r>
            <w:r w:rsidR="00EE0C74">
              <w:rPr>
                <w:rFonts w:ascii="Times New Roman" w:eastAsia="標楷體" w:hAnsi="Times New Roman" w:hint="eastAsia"/>
                <w:sz w:val="36"/>
                <w:szCs w:val="36"/>
              </w:rPr>
              <w:t>7</w:t>
            </w:r>
            <w:bookmarkStart w:id="0" w:name="_GoBack"/>
            <w:bookmarkEnd w:id="0"/>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4767"/>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C7EA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6D" w:rsidRDefault="00F50D6D" w:rsidP="000D485D">
      <w:pPr>
        <w:ind w:left="720" w:hanging="480"/>
      </w:pPr>
      <w:r>
        <w:separator/>
      </w:r>
    </w:p>
  </w:endnote>
  <w:endnote w:type="continuationSeparator" w:id="0">
    <w:p w:rsidR="00F50D6D" w:rsidRDefault="00F50D6D"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sidR="00EE0C74">
      <w:rPr>
        <w:rStyle w:val="a7"/>
        <w:noProof/>
      </w:rPr>
      <w:t>11</w:t>
    </w:r>
    <w:r>
      <w:rPr>
        <w:rStyle w:val="a7"/>
      </w:rPr>
      <w:fldChar w:fldCharType="end"/>
    </w:r>
  </w:p>
  <w:p w:rsidR="00F45CEC" w:rsidRDefault="00F45CEC" w:rsidP="000D485D">
    <w:pPr>
      <w:pStyle w:val="a5"/>
      <w:ind w:left="640" w:right="360" w:hanging="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6D" w:rsidRDefault="00F50D6D" w:rsidP="000D485D">
      <w:pPr>
        <w:ind w:left="720" w:hanging="480"/>
      </w:pPr>
      <w:r>
        <w:separator/>
      </w:r>
    </w:p>
  </w:footnote>
  <w:footnote w:type="continuationSeparator" w:id="0">
    <w:p w:rsidR="00F50D6D" w:rsidRDefault="00F50D6D" w:rsidP="000D485D">
      <w:pPr>
        <w:ind w:left="720" w:hanging="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15:restartNumberingAfterBreak="0">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15:restartNumberingAfterBreak="0">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15:restartNumberingAfterBreak="0">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870B7"/>
    <w:rsid w:val="006B314A"/>
    <w:rsid w:val="006B6E91"/>
    <w:rsid w:val="006F0598"/>
    <w:rsid w:val="00705F49"/>
    <w:rsid w:val="0071791A"/>
    <w:rsid w:val="00741D34"/>
    <w:rsid w:val="0076609D"/>
    <w:rsid w:val="007704E7"/>
    <w:rsid w:val="007A4882"/>
    <w:rsid w:val="007A6183"/>
    <w:rsid w:val="007C2305"/>
    <w:rsid w:val="007D3176"/>
    <w:rsid w:val="007D4274"/>
    <w:rsid w:val="007F0CBB"/>
    <w:rsid w:val="00801149"/>
    <w:rsid w:val="0080653A"/>
    <w:rsid w:val="00814512"/>
    <w:rsid w:val="00857311"/>
    <w:rsid w:val="00860C32"/>
    <w:rsid w:val="00877523"/>
    <w:rsid w:val="008812CC"/>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05D01"/>
    <w:rsid w:val="00A111D8"/>
    <w:rsid w:val="00A15F60"/>
    <w:rsid w:val="00A243B4"/>
    <w:rsid w:val="00A34A81"/>
    <w:rsid w:val="00A41821"/>
    <w:rsid w:val="00A80C86"/>
    <w:rsid w:val="00A94E22"/>
    <w:rsid w:val="00AD6275"/>
    <w:rsid w:val="00AE1206"/>
    <w:rsid w:val="00AF66DF"/>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25B13"/>
    <w:rsid w:val="00C467CF"/>
    <w:rsid w:val="00C71A99"/>
    <w:rsid w:val="00C83165"/>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0C74"/>
    <w:rsid w:val="00EE2C7B"/>
    <w:rsid w:val="00EF17FB"/>
    <w:rsid w:val="00F262F9"/>
    <w:rsid w:val="00F45CEC"/>
    <w:rsid w:val="00F50D6D"/>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403E3"/>
  <w15:docId w15:val="{39EC2AE6-F775-45A2-B989-60511E3E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A15EE-0BA7-450B-94FE-0735A8A6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1657</Words>
  <Characters>9449</Characters>
  <Application>Microsoft Office Word</Application>
  <DocSecurity>0</DocSecurity>
  <Lines>78</Lines>
  <Paragraphs>22</Paragraphs>
  <ScaleCrop>false</ScaleCrop>
  <Company>C.M.T</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人事處</cp:lastModifiedBy>
  <cp:revision>8</cp:revision>
  <cp:lastPrinted>2016-10-11T09:20:00Z</cp:lastPrinted>
  <dcterms:created xsi:type="dcterms:W3CDTF">2017-10-11T09:24:00Z</dcterms:created>
  <dcterms:modified xsi:type="dcterms:W3CDTF">2017-10-20T06:43:00Z</dcterms:modified>
</cp:coreProperties>
</file>