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C75" w:rsidRDefault="00CA1892">
      <w:pPr>
        <w:spacing w:line="0" w:lineRule="atLeast"/>
        <w:ind w:left="958" w:hanging="958"/>
        <w:jc w:val="center"/>
      </w:pPr>
      <w:r>
        <w:rPr>
          <w:rFonts w:eastAsia="標楷體"/>
          <w:b/>
          <w:noProof/>
          <w:color w:val="auto"/>
          <w:sz w:val="36"/>
          <w:szCs w:val="36"/>
          <w:shd w:val="clear" w:color="auto" w:fill="FFFFFF"/>
        </w:rPr>
        <w:drawing>
          <wp:anchor distT="0" distB="0" distL="114300" distR="114300" simplePos="0" relativeHeight="251658240" behindDoc="0" locked="0" layoutInCell="1" allowOverlap="1">
            <wp:simplePos x="0" y="0"/>
            <wp:positionH relativeFrom="margin">
              <wp:posOffset>5243799</wp:posOffset>
            </wp:positionH>
            <wp:positionV relativeFrom="paragraph">
              <wp:posOffset>4415</wp:posOffset>
            </wp:positionV>
            <wp:extent cx="881381" cy="881381"/>
            <wp:effectExtent l="0" t="0" r="13969" b="13969"/>
            <wp:wrapTight wrapText="bothSides">
              <wp:wrapPolygon edited="0">
                <wp:start x="21600" y="21600"/>
                <wp:lineTo x="21600" y="125"/>
                <wp:lineTo x="125" y="124"/>
                <wp:lineTo x="124" y="21600"/>
                <wp:lineTo x="21600" y="21600"/>
              </wp:wrapPolygon>
            </wp:wrapTight>
            <wp:docPr id="4"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rot="10799991" flipV="1">
                      <a:off x="0" y="0"/>
                      <a:ext cx="881381" cy="881381"/>
                    </a:xfrm>
                    <a:prstGeom prst="rect">
                      <a:avLst/>
                    </a:prstGeom>
                    <a:noFill/>
                    <a:ln>
                      <a:noFill/>
                      <a:prstDash/>
                    </a:ln>
                  </pic:spPr>
                </pic:pic>
              </a:graphicData>
            </a:graphic>
          </wp:anchor>
        </w:drawing>
      </w:r>
      <w:r>
        <w:rPr>
          <w:rFonts w:eastAsia="標楷體"/>
          <w:b/>
          <w:color w:val="auto"/>
          <w:sz w:val="36"/>
          <w:szCs w:val="36"/>
          <w:shd w:val="clear" w:color="auto" w:fill="FFFFFF"/>
        </w:rPr>
        <w:t xml:space="preserve">       </w:t>
      </w:r>
      <w:r>
        <w:rPr>
          <w:rFonts w:eastAsia="標楷體"/>
          <w:b/>
          <w:color w:val="auto"/>
          <w:sz w:val="36"/>
          <w:szCs w:val="36"/>
          <w:shd w:val="clear" w:color="auto" w:fill="FFFFFF"/>
        </w:rPr>
        <w:t>精緻</w:t>
      </w:r>
      <w:r>
        <w:rPr>
          <w:rFonts w:eastAsia="標楷體"/>
          <w:b/>
          <w:color w:val="auto"/>
          <w:sz w:val="36"/>
          <w:szCs w:val="36"/>
          <w:shd w:val="clear" w:color="auto" w:fill="FFFFFF"/>
        </w:rPr>
        <w:t>Moocs</w:t>
      </w:r>
      <w:r>
        <w:rPr>
          <w:rFonts w:eastAsia="標楷體"/>
          <w:b/>
          <w:color w:val="auto"/>
          <w:sz w:val="36"/>
          <w:szCs w:val="36"/>
          <w:shd w:val="clear" w:color="auto" w:fill="FFFFFF"/>
        </w:rPr>
        <w:t>系列課程</w:t>
      </w:r>
      <w:bookmarkStart w:id="0" w:name="_GoBack"/>
      <w:r>
        <w:rPr>
          <w:rFonts w:eastAsia="標楷體"/>
          <w:b/>
          <w:color w:val="auto"/>
          <w:sz w:val="36"/>
          <w:szCs w:val="36"/>
          <w:shd w:val="clear" w:color="auto" w:fill="FFFFFF"/>
        </w:rPr>
        <w:t>招生簡章</w:t>
      </w:r>
      <w:bookmarkEnd w:id="0"/>
    </w:p>
    <w:p w:rsidR="00492C75" w:rsidRDefault="00CA1892">
      <w:pPr>
        <w:spacing w:line="0" w:lineRule="atLeast"/>
        <w:ind w:left="958" w:hanging="958"/>
        <w:jc w:val="center"/>
        <w:rPr>
          <w:rFonts w:eastAsia="標楷體"/>
          <w:b/>
          <w:color w:val="auto"/>
          <w:sz w:val="36"/>
          <w:szCs w:val="36"/>
          <w:shd w:val="clear" w:color="auto" w:fill="FFFFFF"/>
        </w:rPr>
      </w:pPr>
      <w:r>
        <w:rPr>
          <w:rFonts w:eastAsia="標楷體"/>
          <w:b/>
          <w:color w:val="auto"/>
          <w:sz w:val="36"/>
          <w:szCs w:val="36"/>
          <w:shd w:val="clear" w:color="auto" w:fill="FFFFFF"/>
        </w:rPr>
        <w:t xml:space="preserve">      </w:t>
      </w:r>
      <w:r>
        <w:rPr>
          <w:rFonts w:eastAsia="標楷體"/>
          <w:b/>
          <w:color w:val="auto"/>
          <w:sz w:val="36"/>
          <w:szCs w:val="36"/>
          <w:shd w:val="clear" w:color="auto" w:fill="FFFFFF"/>
        </w:rPr>
        <w:t>遊戲治療</w:t>
      </w:r>
      <w:r>
        <w:rPr>
          <w:rFonts w:eastAsia="標楷體"/>
          <w:b/>
          <w:color w:val="auto"/>
          <w:sz w:val="36"/>
          <w:szCs w:val="36"/>
          <w:shd w:val="clear" w:color="auto" w:fill="FFFFFF"/>
        </w:rPr>
        <w:t xml:space="preserve"> </w:t>
      </w:r>
    </w:p>
    <w:p w:rsidR="00492C75" w:rsidRDefault="00CA1892">
      <w:pPr>
        <w:spacing w:before="180" w:line="0" w:lineRule="atLeast"/>
        <w:ind w:left="709"/>
      </w:pPr>
      <w:r>
        <w:rPr>
          <w:rFonts w:ascii="標楷體" w:eastAsia="標楷體" w:hAnsi="標楷體" w:cs="Segoe UI Symbol"/>
          <w:sz w:val="24"/>
          <w:szCs w:val="24"/>
        </w:rPr>
        <w:t>鑑於「遊戲」是兒童最自然的溝通媒介，也是自我表達情緒、想法和行動的工具。本課程</w:t>
      </w:r>
      <w:r>
        <w:rPr>
          <w:rFonts w:ascii="標楷體" w:eastAsia="標楷體" w:hAnsi="標楷體" w:cs="Segoe UI Symbol"/>
          <w:sz w:val="24"/>
          <w:szCs w:val="24"/>
        </w:rPr>
        <w:t>在遊戲治療中，兒童的遊戲將實際的現象以隱喻的方式表達、溝通、教導及學習，幫助兒童的想像力免於束縛，使其經驗得以再現，治療者有機會去瞭解兒童對此經驗的反應、感受及想法，兒童有機會重新整理，將現實中無法掌控的部份化為可掌控的，可以發洩精力、發洩競爭的需求、學習生活中的責任、達成困難的目標，及重新體驗挫折，使情緒獲得消散、以社會接納的方式來表達攻擊性，以及學習如何與別人相處和學到新的解決方法。</w:t>
      </w:r>
    </w:p>
    <w:p w:rsidR="00492C75" w:rsidRDefault="00CA1892">
      <w:pPr>
        <w:spacing w:before="180" w:line="0" w:lineRule="atLeast"/>
        <w:ind w:left="1922" w:hanging="1216"/>
        <w:jc w:val="both"/>
      </w:pPr>
      <w:r>
        <w:rPr>
          <w:rFonts w:ascii="Times New Roman" w:eastAsia="標楷體" w:hAnsi="Times New Roman" w:cs="Times New Roman"/>
          <w:b/>
          <w:color w:val="auto"/>
          <w:sz w:val="24"/>
          <w:szCs w:val="24"/>
          <w:shd w:val="clear" w:color="auto" w:fill="FFFFFF"/>
        </w:rPr>
        <w:t>課程特色：</w:t>
      </w:r>
      <w:r>
        <w:rPr>
          <w:rFonts w:ascii="Times New Roman" w:eastAsia="標楷體" w:hAnsi="Times New Roman" w:cs="Times New Roman"/>
          <w:color w:val="auto"/>
          <w:sz w:val="24"/>
          <w:szCs w:val="24"/>
          <w:shd w:val="clear" w:color="auto" w:fill="FFFFFF"/>
        </w:rPr>
        <w:t>由本校教務處數位學習組及專業訓練機構共同規劃線上數位學習課程，學員依規定完成所有線上數位課程後，將頒發國立彰化</w:t>
      </w:r>
      <w:r>
        <w:rPr>
          <w:rFonts w:ascii="Times New Roman" w:eastAsia="標楷體" w:hAnsi="Times New Roman" w:cs="Times New Roman"/>
          <w:color w:val="auto"/>
          <w:sz w:val="24"/>
          <w:szCs w:val="24"/>
          <w:shd w:val="clear" w:color="auto" w:fill="FFFFFF"/>
        </w:rPr>
        <w:t>師範大學「輔導諮商精製</w:t>
      </w:r>
      <w:r>
        <w:rPr>
          <w:rFonts w:ascii="Times New Roman" w:eastAsia="標楷體" w:hAnsi="Times New Roman" w:cs="Times New Roman"/>
          <w:color w:val="auto"/>
          <w:sz w:val="24"/>
          <w:szCs w:val="24"/>
          <w:shd w:val="clear" w:color="auto" w:fill="FFFFFF"/>
        </w:rPr>
        <w:t>Moocs</w:t>
      </w:r>
      <w:r>
        <w:rPr>
          <w:rFonts w:ascii="Times New Roman" w:eastAsia="標楷體" w:hAnsi="Times New Roman" w:cs="Times New Roman"/>
          <w:color w:val="auto"/>
          <w:sz w:val="24"/>
          <w:szCs w:val="24"/>
          <w:shd w:val="clear" w:color="auto" w:fill="FFFFFF"/>
        </w:rPr>
        <w:t>系列課程</w:t>
      </w:r>
      <w:r>
        <w:rPr>
          <w:rFonts w:ascii="Times New Roman" w:eastAsia="標楷體" w:hAnsi="Times New Roman" w:cs="Times New Roman"/>
          <w:color w:val="auto"/>
          <w:sz w:val="24"/>
          <w:szCs w:val="24"/>
          <w:shd w:val="clear" w:color="auto" w:fill="FFFFFF"/>
        </w:rPr>
        <w:t>-(</w:t>
      </w:r>
      <w:r>
        <w:rPr>
          <w:rFonts w:ascii="Times New Roman" w:eastAsia="標楷體" w:hAnsi="Times New Roman" w:cs="Times New Roman"/>
          <w:color w:val="auto"/>
          <w:sz w:val="24"/>
          <w:szCs w:val="24"/>
          <w:shd w:val="clear" w:color="auto" w:fill="FFFFFF"/>
        </w:rPr>
        <w:t>遊戲治療</w:t>
      </w:r>
      <w:r>
        <w:rPr>
          <w:rFonts w:ascii="Times New Roman" w:eastAsia="標楷體" w:hAnsi="Times New Roman" w:cs="Times New Roman"/>
          <w:color w:val="auto"/>
          <w:sz w:val="24"/>
          <w:szCs w:val="24"/>
          <w:shd w:val="clear" w:color="auto" w:fill="FFFFFF"/>
        </w:rPr>
        <w:t>)</w:t>
      </w:r>
      <w:r>
        <w:rPr>
          <w:rFonts w:ascii="Times New Roman" w:eastAsia="標楷體" w:hAnsi="Times New Roman" w:cs="Times New Roman"/>
          <w:color w:val="auto"/>
          <w:sz w:val="24"/>
          <w:szCs w:val="24"/>
          <w:shd w:val="clear" w:color="auto" w:fill="FFFFFF"/>
        </w:rPr>
        <w:t>研習證書」，教師及公務人員可登錄研習時數。。</w:t>
      </w:r>
    </w:p>
    <w:p w:rsidR="00492C75" w:rsidRDefault="00CA1892">
      <w:pPr>
        <w:spacing w:before="180" w:line="0" w:lineRule="atLeast"/>
        <w:ind w:left="2268" w:hanging="1562"/>
      </w:pPr>
      <w:r>
        <w:rPr>
          <w:rFonts w:ascii="Times New Roman" w:eastAsia="標楷體" w:hAnsi="Times New Roman" w:cs="Times New Roman"/>
          <w:b/>
          <w:color w:val="auto"/>
          <w:sz w:val="24"/>
          <w:szCs w:val="24"/>
          <w:shd w:val="clear" w:color="auto" w:fill="FFFFFF"/>
        </w:rPr>
        <w:t>適合對象：</w:t>
      </w:r>
      <w:r>
        <w:rPr>
          <w:rFonts w:ascii="Times New Roman" w:eastAsia="標楷體" w:hAnsi="Times New Roman" w:cs="Times New Roman"/>
          <w:b/>
          <w:color w:val="auto"/>
          <w:sz w:val="24"/>
          <w:szCs w:val="24"/>
          <w:shd w:val="clear" w:color="auto" w:fill="FFFFFF"/>
        </w:rPr>
        <w:t xml:space="preserve"> </w:t>
      </w:r>
      <w:r>
        <w:rPr>
          <w:rFonts w:ascii="Times New Roman" w:eastAsia="標楷體" w:hAnsi="Times New Roman" w:cs="Times New Roman"/>
          <w:color w:val="auto"/>
          <w:sz w:val="24"/>
          <w:szCs w:val="24"/>
          <w:shd w:val="clear" w:color="auto" w:fill="FFFFFF"/>
        </w:rPr>
        <w:t>1.</w:t>
      </w:r>
      <w:r>
        <w:rPr>
          <w:rFonts w:ascii="Times New Roman" w:eastAsia="標楷體" w:hAnsi="Times New Roman" w:cs="Times New Roman"/>
          <w:color w:val="auto"/>
          <w:sz w:val="24"/>
          <w:szCs w:val="24"/>
          <w:shd w:val="clear" w:color="auto" w:fill="FFFFFF"/>
        </w:rPr>
        <w:t>對遊戲治療有興趣之心理師、專輔教師、社工師、相關系所研究生、及相關</w:t>
      </w:r>
      <w:r>
        <w:rPr>
          <w:rFonts w:ascii="Times New Roman" w:eastAsia="標楷體" w:hAnsi="Times New Roman" w:cs="Times New Roman"/>
          <w:color w:val="auto"/>
          <w:sz w:val="24"/>
          <w:szCs w:val="24"/>
          <w:shd w:val="clear" w:color="auto" w:fill="FFFFFF"/>
        </w:rPr>
        <w:t xml:space="preserve"> </w:t>
      </w:r>
      <w:r>
        <w:rPr>
          <w:rFonts w:ascii="Times New Roman" w:eastAsia="標楷體" w:hAnsi="Times New Roman" w:cs="Times New Roman"/>
          <w:color w:val="auto"/>
          <w:sz w:val="24"/>
          <w:szCs w:val="24"/>
          <w:shd w:val="clear" w:color="auto" w:fill="FFFFFF"/>
        </w:rPr>
        <w:t>兒童輔導實務工作者。</w:t>
      </w:r>
    </w:p>
    <w:p w:rsidR="00492C75" w:rsidRDefault="00CA1892">
      <w:pPr>
        <w:spacing w:line="0" w:lineRule="atLeast"/>
        <w:ind w:left="1984" w:firstLine="2"/>
        <w:rPr>
          <w:rFonts w:ascii="Times New Roman" w:eastAsia="標楷體" w:hAnsi="Times New Roman" w:cs="Times New Roman"/>
          <w:color w:val="auto"/>
          <w:sz w:val="24"/>
          <w:szCs w:val="24"/>
          <w:shd w:val="clear" w:color="auto" w:fill="FFFFFF"/>
        </w:rPr>
      </w:pPr>
      <w:r>
        <w:rPr>
          <w:rFonts w:ascii="Times New Roman" w:eastAsia="標楷體" w:hAnsi="Times New Roman" w:cs="Times New Roman"/>
          <w:color w:val="auto"/>
          <w:sz w:val="24"/>
          <w:szCs w:val="24"/>
          <w:shd w:val="clear" w:color="auto" w:fill="FFFFFF"/>
        </w:rPr>
        <w:t>2.</w:t>
      </w:r>
      <w:r>
        <w:rPr>
          <w:rFonts w:ascii="Times New Roman" w:eastAsia="標楷體" w:hAnsi="Times New Roman" w:cs="Times New Roman"/>
          <w:color w:val="auto"/>
          <w:sz w:val="24"/>
          <w:szCs w:val="24"/>
          <w:shd w:val="clear" w:color="auto" w:fill="FFFFFF"/>
        </w:rPr>
        <w:t>需要職場績效考核之職能佐證或提高職場競爭力者。</w:t>
      </w:r>
    </w:p>
    <w:p w:rsidR="00492C75" w:rsidRDefault="00CA1892">
      <w:pPr>
        <w:spacing w:line="0" w:lineRule="atLeast"/>
        <w:ind w:left="1984" w:firstLine="2"/>
        <w:rPr>
          <w:rFonts w:ascii="Times New Roman" w:eastAsia="標楷體" w:hAnsi="Times New Roman" w:cs="Times New Roman"/>
          <w:color w:val="auto"/>
          <w:sz w:val="24"/>
          <w:szCs w:val="24"/>
          <w:shd w:val="clear" w:color="auto" w:fill="FFFFFF"/>
        </w:rPr>
      </w:pPr>
      <w:r>
        <w:rPr>
          <w:rFonts w:ascii="Times New Roman" w:eastAsia="標楷體" w:hAnsi="Times New Roman" w:cs="Times New Roman"/>
          <w:color w:val="auto"/>
          <w:sz w:val="24"/>
          <w:szCs w:val="24"/>
          <w:shd w:val="clear" w:color="auto" w:fill="FFFFFF"/>
        </w:rPr>
        <w:t>3.</w:t>
      </w:r>
      <w:r>
        <w:rPr>
          <w:rFonts w:ascii="Times New Roman" w:eastAsia="標楷體" w:hAnsi="Times New Roman" w:cs="Times New Roman"/>
          <w:color w:val="auto"/>
          <w:sz w:val="24"/>
          <w:szCs w:val="24"/>
          <w:shd w:val="clear" w:color="auto" w:fill="FFFFFF"/>
        </w:rPr>
        <w:t>適合第一線接觸輔導諮商工作者。</w:t>
      </w:r>
    </w:p>
    <w:p w:rsidR="00492C75" w:rsidRDefault="00CA1892">
      <w:pPr>
        <w:spacing w:before="180" w:line="0" w:lineRule="atLeast"/>
        <w:ind w:left="708" w:firstLine="2"/>
      </w:pPr>
      <w:r>
        <w:rPr>
          <w:rFonts w:ascii="Times New Roman" w:eastAsia="標楷體" w:hAnsi="Times New Roman" w:cs="Times New Roman"/>
          <w:b/>
          <w:color w:val="auto"/>
          <w:sz w:val="24"/>
          <w:szCs w:val="24"/>
          <w:shd w:val="clear" w:color="auto" w:fill="FFFFFF"/>
        </w:rPr>
        <w:t>報名時間：</w:t>
      </w:r>
      <w:r>
        <w:rPr>
          <w:rFonts w:ascii="Times New Roman" w:eastAsia="標楷體" w:hAnsi="Times New Roman" w:cs="Times New Roman"/>
          <w:color w:val="auto"/>
          <w:sz w:val="24"/>
          <w:szCs w:val="24"/>
          <w:shd w:val="clear" w:color="auto" w:fill="FFFFFF"/>
        </w:rPr>
        <w:t>即日起至</w:t>
      </w:r>
      <w:r>
        <w:rPr>
          <w:rFonts w:ascii="Times New Roman" w:eastAsia="標楷體" w:hAnsi="Times New Roman" w:cs="Times New Roman"/>
          <w:color w:val="auto"/>
          <w:sz w:val="24"/>
          <w:szCs w:val="24"/>
          <w:shd w:val="clear" w:color="auto" w:fill="FFFFFF"/>
        </w:rPr>
        <w:t>109</w:t>
      </w:r>
      <w:r>
        <w:rPr>
          <w:rFonts w:ascii="Times New Roman" w:eastAsia="標楷體" w:hAnsi="Times New Roman" w:cs="Times New Roman"/>
          <w:color w:val="auto"/>
          <w:sz w:val="24"/>
          <w:szCs w:val="24"/>
          <w:shd w:val="clear" w:color="auto" w:fill="FFFFFF"/>
        </w:rPr>
        <w:t>年</w:t>
      </w:r>
      <w:r>
        <w:rPr>
          <w:rFonts w:ascii="Times New Roman" w:eastAsia="標楷體" w:hAnsi="Times New Roman" w:cs="Times New Roman"/>
          <w:color w:val="auto"/>
          <w:sz w:val="24"/>
          <w:szCs w:val="24"/>
          <w:shd w:val="clear" w:color="auto" w:fill="FFFFFF"/>
        </w:rPr>
        <w:t>7</w:t>
      </w:r>
      <w:r>
        <w:rPr>
          <w:rFonts w:ascii="Times New Roman" w:eastAsia="標楷體" w:hAnsi="Times New Roman" w:cs="Times New Roman"/>
          <w:color w:val="auto"/>
          <w:sz w:val="24"/>
          <w:szCs w:val="24"/>
          <w:shd w:val="clear" w:color="auto" w:fill="FFFFFF"/>
        </w:rPr>
        <w:t>月</w:t>
      </w:r>
      <w:r>
        <w:rPr>
          <w:rFonts w:ascii="Times New Roman" w:eastAsia="標楷體" w:hAnsi="Times New Roman" w:cs="Times New Roman"/>
          <w:color w:val="auto"/>
          <w:sz w:val="24"/>
          <w:szCs w:val="24"/>
          <w:shd w:val="clear" w:color="auto" w:fill="FFFFFF"/>
        </w:rPr>
        <w:t>31</w:t>
      </w:r>
      <w:r>
        <w:rPr>
          <w:rFonts w:ascii="Times New Roman" w:eastAsia="標楷體" w:hAnsi="Times New Roman" w:cs="Times New Roman"/>
          <w:color w:val="auto"/>
          <w:sz w:val="24"/>
          <w:szCs w:val="24"/>
          <w:shd w:val="clear" w:color="auto" w:fill="FFFFFF"/>
        </w:rPr>
        <w:t>日止</w:t>
      </w:r>
    </w:p>
    <w:p w:rsidR="00492C75" w:rsidRDefault="00CA1892">
      <w:pPr>
        <w:spacing w:before="180" w:line="0" w:lineRule="atLeast"/>
        <w:ind w:left="1924" w:hanging="1213"/>
      </w:pPr>
      <w:r>
        <w:rPr>
          <w:rFonts w:ascii="Times New Roman" w:eastAsia="標楷體" w:hAnsi="Times New Roman" w:cs="Times New Roman"/>
          <w:b/>
          <w:color w:val="auto"/>
          <w:sz w:val="24"/>
          <w:szCs w:val="24"/>
          <w:shd w:val="clear" w:color="auto" w:fill="FFFFFF"/>
        </w:rPr>
        <w:t>上課時間：</w:t>
      </w:r>
      <w:r>
        <w:rPr>
          <w:rFonts w:ascii="Times New Roman" w:eastAsia="標楷體" w:hAnsi="Times New Roman" w:cs="Times New Roman"/>
          <w:color w:val="auto"/>
          <w:sz w:val="24"/>
          <w:szCs w:val="24"/>
          <w:shd w:val="clear" w:color="auto" w:fill="FFFFFF"/>
        </w:rPr>
        <w:t>自完成繳費日起算</w:t>
      </w:r>
      <w:r>
        <w:rPr>
          <w:rFonts w:ascii="Times New Roman" w:eastAsia="標楷體" w:hAnsi="Times New Roman" w:cs="Times New Roman"/>
          <w:color w:val="auto"/>
          <w:sz w:val="24"/>
          <w:szCs w:val="24"/>
          <w:shd w:val="clear" w:color="auto" w:fill="FFFFFF"/>
        </w:rPr>
        <w:t>21</w:t>
      </w:r>
      <w:r>
        <w:rPr>
          <w:rFonts w:ascii="Times New Roman" w:eastAsia="標楷體" w:hAnsi="Times New Roman" w:cs="Times New Roman"/>
          <w:color w:val="auto"/>
          <w:sz w:val="24"/>
          <w:szCs w:val="24"/>
          <w:shd w:val="clear" w:color="auto" w:fill="FFFFFF"/>
        </w:rPr>
        <w:t>天，不限時段，隨時可上本校雲端學院上課。</w:t>
      </w:r>
    </w:p>
    <w:p w:rsidR="00492C75" w:rsidRDefault="00CA1892">
      <w:pPr>
        <w:spacing w:before="180" w:line="0" w:lineRule="atLeast"/>
        <w:ind w:left="1924" w:hanging="1213"/>
      </w:pPr>
      <w:r>
        <w:rPr>
          <w:rFonts w:ascii="Times New Roman" w:eastAsia="標楷體" w:hAnsi="Times New Roman" w:cs="Times New Roman"/>
          <w:b/>
          <w:color w:val="auto"/>
          <w:sz w:val="24"/>
          <w:szCs w:val="24"/>
          <w:shd w:val="clear" w:color="auto" w:fill="FFFFFF"/>
        </w:rPr>
        <w:t>上課費用：</w:t>
      </w:r>
      <w:r>
        <w:rPr>
          <w:rFonts w:ascii="Times New Roman" w:eastAsia="標楷體" w:hAnsi="Times New Roman" w:cs="Times New Roman"/>
          <w:color w:val="auto"/>
          <w:sz w:val="24"/>
          <w:szCs w:val="24"/>
          <w:shd w:val="clear" w:color="auto" w:fill="FFFFFF"/>
        </w:rPr>
        <w:t>840</w:t>
      </w:r>
      <w:r>
        <w:rPr>
          <w:rFonts w:ascii="Times New Roman" w:eastAsia="標楷體" w:hAnsi="Times New Roman" w:cs="Times New Roman"/>
          <w:color w:val="auto"/>
          <w:sz w:val="24"/>
          <w:szCs w:val="24"/>
          <w:shd w:val="clear" w:color="auto" w:fill="FFFFFF"/>
        </w:rPr>
        <w:t>元。（</w:t>
      </w:r>
      <w:r>
        <w:rPr>
          <w:rFonts w:ascii="Times New Roman" w:eastAsia="標楷體" w:hAnsi="Times New Roman" w:cs="Times New Roman"/>
          <w:color w:val="auto"/>
          <w:sz w:val="24"/>
          <w:szCs w:val="24"/>
          <w:shd w:val="clear" w:color="auto" w:fill="FFFFFF"/>
        </w:rPr>
        <w:t>2</w:t>
      </w:r>
      <w:r>
        <w:rPr>
          <w:rFonts w:ascii="Times New Roman" w:eastAsia="標楷體" w:hAnsi="Times New Roman" w:cs="Times New Roman"/>
          <w:color w:val="auto"/>
          <w:sz w:val="24"/>
          <w:szCs w:val="24"/>
          <w:shd w:val="clear" w:color="auto" w:fill="FFFFFF"/>
        </w:rPr>
        <w:t>人同行享課程費用</w:t>
      </w:r>
      <w:r>
        <w:rPr>
          <w:rFonts w:ascii="Times New Roman" w:eastAsia="標楷體" w:hAnsi="Times New Roman" w:cs="Times New Roman"/>
          <w:color w:val="auto"/>
          <w:sz w:val="24"/>
          <w:szCs w:val="24"/>
          <w:shd w:val="clear" w:color="auto" w:fill="FFFFFF"/>
        </w:rPr>
        <w:t>9</w:t>
      </w:r>
      <w:r>
        <w:rPr>
          <w:rFonts w:ascii="Times New Roman" w:eastAsia="標楷體" w:hAnsi="Times New Roman" w:cs="Times New Roman"/>
          <w:color w:val="auto"/>
          <w:sz w:val="24"/>
          <w:szCs w:val="24"/>
          <w:shd w:val="clear" w:color="auto" w:fill="FFFFFF"/>
        </w:rPr>
        <w:t>折優惠</w:t>
      </w:r>
      <w:r>
        <w:rPr>
          <w:rFonts w:ascii="Times New Roman" w:eastAsia="標楷體" w:hAnsi="Times New Roman" w:cs="Times New Roman"/>
          <w:color w:val="auto"/>
          <w:sz w:val="24"/>
          <w:szCs w:val="24"/>
          <w:shd w:val="clear" w:color="auto" w:fill="FFFFFF"/>
        </w:rPr>
        <w:t>-</w:t>
      </w:r>
      <w:r>
        <w:rPr>
          <w:rFonts w:ascii="Times New Roman" w:eastAsia="標楷體" w:hAnsi="Times New Roman" w:cs="Times New Roman"/>
          <w:color w:val="auto"/>
          <w:sz w:val="24"/>
          <w:szCs w:val="24"/>
          <w:shd w:val="clear" w:color="auto" w:fill="FFFFFF"/>
        </w:rPr>
        <w:t>每人</w:t>
      </w:r>
      <w:r>
        <w:rPr>
          <w:rFonts w:ascii="Times New Roman" w:eastAsia="標楷體" w:hAnsi="Times New Roman" w:cs="Times New Roman"/>
          <w:color w:val="auto"/>
          <w:sz w:val="24"/>
          <w:szCs w:val="24"/>
          <w:shd w:val="clear" w:color="auto" w:fill="FFFFFF"/>
        </w:rPr>
        <w:t>756</w:t>
      </w:r>
      <w:r>
        <w:rPr>
          <w:rFonts w:ascii="Times New Roman" w:eastAsia="標楷體" w:hAnsi="Times New Roman" w:cs="Times New Roman"/>
          <w:color w:val="auto"/>
          <w:sz w:val="24"/>
          <w:szCs w:val="24"/>
          <w:shd w:val="clear" w:color="auto" w:fill="FFFFFF"/>
        </w:rPr>
        <w:t>元，</w:t>
      </w:r>
      <w:r>
        <w:rPr>
          <w:rFonts w:ascii="Times New Roman" w:eastAsia="標楷體" w:hAnsi="Times New Roman" w:cs="Times New Roman"/>
          <w:color w:val="auto"/>
          <w:sz w:val="24"/>
          <w:szCs w:val="24"/>
          <w:shd w:val="clear" w:color="auto" w:fill="FFFFFF"/>
        </w:rPr>
        <w:t>5</w:t>
      </w:r>
      <w:r>
        <w:rPr>
          <w:rFonts w:ascii="Times New Roman" w:eastAsia="標楷體" w:hAnsi="Times New Roman" w:cs="Times New Roman"/>
          <w:color w:val="auto"/>
          <w:sz w:val="24"/>
          <w:szCs w:val="24"/>
          <w:shd w:val="clear" w:color="auto" w:fill="FFFFFF"/>
        </w:rPr>
        <w:t>人同行享課程費用</w:t>
      </w:r>
      <w:r>
        <w:rPr>
          <w:rFonts w:ascii="Times New Roman" w:eastAsia="標楷體" w:hAnsi="Times New Roman" w:cs="Times New Roman"/>
          <w:color w:val="auto"/>
          <w:sz w:val="24"/>
          <w:szCs w:val="24"/>
          <w:shd w:val="clear" w:color="auto" w:fill="FFFFFF"/>
        </w:rPr>
        <w:t>8</w:t>
      </w:r>
      <w:r>
        <w:rPr>
          <w:rFonts w:ascii="Times New Roman" w:eastAsia="標楷體" w:hAnsi="Times New Roman" w:cs="Times New Roman"/>
          <w:color w:val="auto"/>
          <w:sz w:val="24"/>
          <w:szCs w:val="24"/>
          <w:shd w:val="clear" w:color="auto" w:fill="FFFFFF"/>
        </w:rPr>
        <w:t>折優惠</w:t>
      </w:r>
      <w:r>
        <w:rPr>
          <w:rFonts w:ascii="Times New Roman" w:eastAsia="標楷體" w:hAnsi="Times New Roman" w:cs="Times New Roman"/>
          <w:color w:val="auto"/>
          <w:sz w:val="24"/>
          <w:szCs w:val="24"/>
          <w:shd w:val="clear" w:color="auto" w:fill="FFFFFF"/>
        </w:rPr>
        <w:t>-</w:t>
      </w:r>
      <w:r>
        <w:rPr>
          <w:rFonts w:ascii="Times New Roman" w:eastAsia="標楷體" w:hAnsi="Times New Roman" w:cs="Times New Roman"/>
          <w:color w:val="auto"/>
          <w:sz w:val="24"/>
          <w:szCs w:val="24"/>
          <w:shd w:val="clear" w:color="auto" w:fill="FFFFFF"/>
        </w:rPr>
        <w:t>每人</w:t>
      </w:r>
      <w:r>
        <w:rPr>
          <w:rFonts w:ascii="Times New Roman" w:eastAsia="標楷體" w:hAnsi="Times New Roman" w:cs="Times New Roman"/>
          <w:color w:val="auto"/>
          <w:sz w:val="24"/>
          <w:szCs w:val="24"/>
          <w:shd w:val="clear" w:color="auto" w:fill="FFFFFF"/>
        </w:rPr>
        <w:t>672</w:t>
      </w:r>
      <w:r>
        <w:rPr>
          <w:rFonts w:ascii="Times New Roman" w:eastAsia="標楷體" w:hAnsi="Times New Roman" w:cs="Times New Roman"/>
          <w:color w:val="auto"/>
          <w:sz w:val="24"/>
          <w:szCs w:val="24"/>
          <w:shd w:val="clear" w:color="auto" w:fill="FFFFFF"/>
        </w:rPr>
        <w:t>元）</w:t>
      </w:r>
    </w:p>
    <w:p w:rsidR="00492C75" w:rsidRDefault="00CA1892">
      <w:pPr>
        <w:spacing w:before="180" w:line="0" w:lineRule="atLeast"/>
        <w:ind w:left="1924" w:hanging="1213"/>
      </w:pPr>
      <w:r>
        <w:rPr>
          <w:rFonts w:ascii="Times New Roman" w:eastAsia="標楷體" w:hAnsi="Times New Roman" w:cs="Times New Roman"/>
          <w:b/>
          <w:color w:val="auto"/>
          <w:sz w:val="24"/>
          <w:szCs w:val="24"/>
          <w:shd w:val="clear" w:color="auto" w:fill="FFFFFF"/>
        </w:rPr>
        <w:t>報名步驟：</w:t>
      </w:r>
      <w:r>
        <w:rPr>
          <w:rFonts w:ascii="Times New Roman" w:eastAsia="標楷體" w:hAnsi="Times New Roman" w:cs="Times New Roman"/>
          <w:color w:val="auto"/>
          <w:sz w:val="24"/>
          <w:szCs w:val="24"/>
          <w:shd w:val="clear" w:color="auto" w:fill="FFFFFF"/>
        </w:rPr>
        <w:t>線上報名，請至本校進修學院報名管理系統報名。如第一次報名，請先申請帳號。</w:t>
      </w:r>
      <w:r>
        <w:rPr>
          <w:rFonts w:ascii="Times New Roman" w:eastAsia="標楷體" w:hAnsi="Times New Roman" w:cs="Times New Roman"/>
          <w:color w:val="auto"/>
          <w:sz w:val="24"/>
          <w:szCs w:val="24"/>
          <w:shd w:val="clear" w:color="auto" w:fill="FFFFFF"/>
        </w:rPr>
        <w:t>(</w:t>
      </w:r>
      <w:hyperlink r:id="rId8" w:history="1">
        <w:r>
          <w:rPr>
            <w:rStyle w:val="a8"/>
            <w:rFonts w:ascii="Times New Roman" w:eastAsia="標楷體" w:hAnsi="Times New Roman" w:cs="Times New Roman"/>
            <w:sz w:val="24"/>
            <w:szCs w:val="24"/>
            <w:shd w:val="clear" w:color="auto" w:fill="FFFFFF"/>
          </w:rPr>
          <w:t>https://aps.ncue.edu.tw/cee/login.php</w:t>
        </w:r>
      </w:hyperlink>
      <w:r>
        <w:rPr>
          <w:rFonts w:ascii="Times New Roman" w:eastAsia="標楷體" w:hAnsi="Times New Roman" w:cs="Times New Roman"/>
          <w:color w:val="auto"/>
          <w:sz w:val="24"/>
          <w:szCs w:val="24"/>
          <w:shd w:val="clear" w:color="auto" w:fill="FFFFFF"/>
        </w:rPr>
        <w:t>)</w:t>
      </w:r>
    </w:p>
    <w:p w:rsidR="00492C75" w:rsidRDefault="00CA1892">
      <w:pPr>
        <w:spacing w:before="180" w:line="0" w:lineRule="atLeast"/>
        <w:ind w:left="1924" w:hanging="1213"/>
      </w:pPr>
      <w:r>
        <w:rPr>
          <w:rFonts w:ascii="Times New Roman" w:eastAsia="標楷體" w:hAnsi="Times New Roman" w:cs="Times New Roman"/>
          <w:b/>
          <w:color w:val="auto"/>
          <w:sz w:val="24"/>
          <w:szCs w:val="24"/>
          <w:shd w:val="clear" w:color="auto" w:fill="FFFFFF"/>
        </w:rPr>
        <w:t>繳費方式：</w:t>
      </w:r>
      <w:r>
        <w:rPr>
          <w:rFonts w:ascii="Times New Roman" w:eastAsia="標楷體" w:hAnsi="Times New Roman" w:cs="Times New Roman"/>
          <w:color w:val="auto"/>
          <w:sz w:val="24"/>
          <w:szCs w:val="24"/>
          <w:shd w:val="clear" w:color="auto" w:fill="FFFFFF"/>
        </w:rPr>
        <w:t>線上報名完成後，承辦單位以</w:t>
      </w:r>
      <w:r>
        <w:rPr>
          <w:rFonts w:ascii="Times New Roman" w:eastAsia="標楷體" w:hAnsi="Times New Roman" w:cs="Times New Roman"/>
          <w:color w:val="auto"/>
          <w:sz w:val="24"/>
          <w:szCs w:val="24"/>
          <w:shd w:val="clear" w:color="auto" w:fill="FFFFFF"/>
        </w:rPr>
        <w:t>E-Mail</w:t>
      </w:r>
      <w:r>
        <w:rPr>
          <w:rFonts w:ascii="Times New Roman" w:eastAsia="標楷體" w:hAnsi="Times New Roman" w:cs="Times New Roman"/>
          <w:color w:val="auto"/>
          <w:sz w:val="24"/>
          <w:szCs w:val="24"/>
          <w:shd w:val="clear" w:color="auto" w:fill="FFFFFF"/>
        </w:rPr>
        <w:t>寄送繳費單通知繳款作業，請依繳費期限內下載列印，並於全國各地郵局、</w:t>
      </w:r>
      <w:r>
        <w:rPr>
          <w:rFonts w:ascii="Times New Roman" w:eastAsia="標楷體" w:hAnsi="Times New Roman" w:cs="Times New Roman"/>
          <w:color w:val="auto"/>
          <w:sz w:val="24"/>
          <w:szCs w:val="24"/>
          <w:shd w:val="clear" w:color="auto" w:fill="FFFFFF"/>
        </w:rPr>
        <w:t>ATM</w:t>
      </w:r>
      <w:r>
        <w:rPr>
          <w:rFonts w:ascii="Times New Roman" w:eastAsia="標楷體" w:hAnsi="Times New Roman" w:cs="Times New Roman"/>
          <w:color w:val="auto"/>
          <w:sz w:val="24"/>
          <w:szCs w:val="24"/>
          <w:shd w:val="clear" w:color="auto" w:fill="FFFFFF"/>
        </w:rPr>
        <w:t>轉帳、四大超商等管道完成課程費用繳交，方完成報名手續。</w:t>
      </w:r>
    </w:p>
    <w:p w:rsidR="00492C75" w:rsidRDefault="00CA1892">
      <w:pPr>
        <w:spacing w:before="180" w:line="0" w:lineRule="atLeast"/>
        <w:ind w:left="1924" w:hanging="1213"/>
      </w:pPr>
      <w:r>
        <w:rPr>
          <w:rFonts w:ascii="Times New Roman" w:eastAsia="標楷體" w:hAnsi="Times New Roman" w:cs="Times New Roman"/>
          <w:b/>
          <w:color w:val="auto"/>
          <w:sz w:val="24"/>
          <w:szCs w:val="24"/>
          <w:shd w:val="clear" w:color="auto" w:fill="FFFFFF"/>
        </w:rPr>
        <w:t>退費方式：</w:t>
      </w:r>
      <w:r>
        <w:rPr>
          <w:rFonts w:ascii="Times New Roman" w:eastAsia="標楷體" w:hAnsi="Times New Roman" w:cs="Times New Roman"/>
          <w:color w:val="auto"/>
          <w:sz w:val="24"/>
          <w:szCs w:val="24"/>
          <w:shd w:val="clear" w:color="auto" w:fill="FFFFFF"/>
        </w:rPr>
        <w:t>學員完成報名繳費後，因故申請退費，應依下列方式辦理：</w:t>
      </w:r>
    </w:p>
    <w:p w:rsidR="00492C75" w:rsidRDefault="00CA1892">
      <w:pPr>
        <w:spacing w:line="0" w:lineRule="atLeast"/>
        <w:ind w:left="2550" w:hanging="744"/>
      </w:pPr>
      <w:r>
        <w:rPr>
          <w:rFonts w:ascii="標楷體" w:eastAsia="標楷體" w:hAnsi="標楷體" w:cs="Times New Roman"/>
          <w:color w:val="auto"/>
          <w:sz w:val="24"/>
          <w:szCs w:val="24"/>
          <w:shd w:val="clear" w:color="auto" w:fill="FFFFFF"/>
        </w:rPr>
        <w:t>（一）</w:t>
      </w:r>
      <w:r>
        <w:rPr>
          <w:rFonts w:ascii="Times New Roman" w:eastAsia="標楷體" w:hAnsi="Times New Roman" w:cs="Times New Roman"/>
          <w:color w:val="auto"/>
          <w:sz w:val="24"/>
          <w:szCs w:val="24"/>
          <w:shd w:val="clear" w:color="auto" w:fill="FFFFFF"/>
        </w:rPr>
        <w:t>因學員自報名繳費後至開始修讀線上數位課程前申請退費者，退還已繳學費之九成。自開始修讀線上數位課程起申請退費者，不予退還。</w:t>
      </w:r>
    </w:p>
    <w:p w:rsidR="00492C75" w:rsidRDefault="00CA1892">
      <w:pPr>
        <w:spacing w:line="0" w:lineRule="atLeast"/>
        <w:ind w:left="2550" w:hanging="744"/>
      </w:pPr>
      <w:r>
        <w:rPr>
          <w:rFonts w:ascii="標楷體" w:eastAsia="標楷體" w:hAnsi="標楷體" w:cs="Times New Roman"/>
          <w:color w:val="auto"/>
          <w:sz w:val="24"/>
          <w:szCs w:val="24"/>
          <w:shd w:val="clear" w:color="auto" w:fill="FFFFFF"/>
        </w:rPr>
        <w:t>（二）學校因故未能開班上課，應全額退還已繳費用。</w:t>
      </w:r>
    </w:p>
    <w:p w:rsidR="00492C75" w:rsidRDefault="00CA1892">
      <w:pPr>
        <w:spacing w:line="0" w:lineRule="atLeast"/>
        <w:ind w:left="2623" w:hanging="1912"/>
        <w:rPr>
          <w:rFonts w:ascii="Times New Roman" w:eastAsia="標楷體" w:hAnsi="Times New Roman" w:cs="Times New Roman"/>
          <w:b/>
          <w:color w:val="auto"/>
          <w:sz w:val="24"/>
          <w:szCs w:val="24"/>
          <w:shd w:val="clear" w:color="auto" w:fill="FFFFFF"/>
        </w:rPr>
      </w:pPr>
      <w:r>
        <w:rPr>
          <w:rFonts w:ascii="Times New Roman" w:eastAsia="標楷體" w:hAnsi="Times New Roman" w:cs="Times New Roman"/>
          <w:b/>
          <w:color w:val="auto"/>
          <w:sz w:val="24"/>
          <w:szCs w:val="24"/>
          <w:shd w:val="clear" w:color="auto" w:fill="FFFFFF"/>
        </w:rPr>
        <w:t>注意事項：</w:t>
      </w:r>
    </w:p>
    <w:p w:rsidR="00492C75" w:rsidRDefault="00CA1892">
      <w:pPr>
        <w:spacing w:line="0" w:lineRule="atLeast"/>
        <w:ind w:left="2619" w:hanging="778"/>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（一）本班為非學分班，學員須完成所有線上數位課程，頒發研習證書。</w:t>
      </w:r>
    </w:p>
    <w:p w:rsidR="00492C75" w:rsidRDefault="00CA1892">
      <w:pPr>
        <w:spacing w:line="0" w:lineRule="atLeast"/>
        <w:ind w:left="2549" w:hanging="708"/>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（二）如遇風災、地震或重大不可抗力之因素造成停課事件，可加計修課天數；且均依彰化縣政府公告辦理。</w:t>
      </w:r>
    </w:p>
    <w:p w:rsidR="00492C75" w:rsidRDefault="00CA1892">
      <w:pPr>
        <w:spacing w:line="0" w:lineRule="atLeast"/>
        <w:ind w:left="2549" w:hanging="708"/>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（三）本校保有最終修改招生簡章權利。</w:t>
      </w:r>
    </w:p>
    <w:p w:rsidR="00492C75" w:rsidRDefault="00CA1892">
      <w:pPr>
        <w:spacing w:before="180" w:line="0" w:lineRule="atLeast"/>
        <w:ind w:left="1953" w:hanging="2"/>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lastRenderedPageBreak/>
        <w:t>本簡章如有未盡事宜，悉依本校相關規定辦理；課程資訊如有相關異動，以本校網站公告為準，以上內容主辦單位有權更改相關活動內容。</w:t>
      </w:r>
    </w:p>
    <w:p w:rsidR="00492C75" w:rsidRDefault="00CA1892">
      <w:pPr>
        <w:spacing w:before="180" w:line="0" w:lineRule="atLeast"/>
        <w:ind w:left="708" w:hanging="2"/>
      </w:pPr>
      <w:r>
        <w:rPr>
          <w:rFonts w:ascii="Times New Roman" w:eastAsia="標楷體" w:hAnsi="Times New Roman" w:cs="Times New Roman"/>
          <w:b/>
          <w:color w:val="auto"/>
          <w:sz w:val="24"/>
          <w:szCs w:val="24"/>
          <w:shd w:val="clear" w:color="auto" w:fill="FFFFFF"/>
        </w:rPr>
        <w:t>聯絡方式：</w:t>
      </w:r>
      <w:r>
        <w:rPr>
          <w:rFonts w:ascii="Times New Roman" w:eastAsia="標楷體" w:hAnsi="Times New Roman" w:cs="Times New Roman"/>
          <w:b/>
          <w:color w:val="auto"/>
          <w:sz w:val="24"/>
          <w:szCs w:val="24"/>
          <w:shd w:val="clear" w:color="auto" w:fill="FFFFFF"/>
        </w:rPr>
        <w:t xml:space="preserve"> </w:t>
      </w:r>
      <w:r>
        <w:rPr>
          <w:rFonts w:ascii="標楷體" w:eastAsia="標楷體" w:hAnsi="標楷體" w:cs="Times New Roman"/>
          <w:color w:val="auto"/>
          <w:sz w:val="24"/>
          <w:szCs w:val="24"/>
          <w:shd w:val="clear" w:color="auto" w:fill="FFFFFF"/>
        </w:rPr>
        <w:t>國立彰化師範大教務處數位學習組</w:t>
      </w:r>
    </w:p>
    <w:p w:rsidR="00492C75" w:rsidRDefault="00CA1892">
      <w:pPr>
        <w:spacing w:line="0" w:lineRule="atLeast"/>
        <w:ind w:left="1984" w:firstLine="3"/>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電話：（</w:t>
      </w:r>
      <w:r>
        <w:rPr>
          <w:rFonts w:ascii="標楷體" w:eastAsia="標楷體" w:hAnsi="標楷體" w:cs="Times New Roman"/>
          <w:color w:val="auto"/>
          <w:sz w:val="24"/>
          <w:szCs w:val="24"/>
          <w:shd w:val="clear" w:color="auto" w:fill="FFFFFF"/>
        </w:rPr>
        <w:t>04</w:t>
      </w:r>
      <w:r>
        <w:rPr>
          <w:rFonts w:ascii="標楷體" w:eastAsia="標楷體" w:hAnsi="標楷體" w:cs="Times New Roman"/>
          <w:color w:val="auto"/>
          <w:sz w:val="24"/>
          <w:szCs w:val="24"/>
          <w:shd w:val="clear" w:color="auto" w:fill="FFFFFF"/>
        </w:rPr>
        <w:t>）</w:t>
      </w:r>
      <w:r>
        <w:rPr>
          <w:rFonts w:ascii="標楷體" w:eastAsia="標楷體" w:hAnsi="標楷體" w:cs="Times New Roman"/>
          <w:color w:val="auto"/>
          <w:sz w:val="24"/>
          <w:szCs w:val="24"/>
          <w:shd w:val="clear" w:color="auto" w:fill="FFFFFF"/>
        </w:rPr>
        <w:t>7232105</w:t>
      </w:r>
      <w:r>
        <w:rPr>
          <w:rFonts w:ascii="標楷體" w:eastAsia="標楷體" w:hAnsi="標楷體" w:cs="Times New Roman"/>
          <w:color w:val="auto"/>
          <w:sz w:val="24"/>
          <w:szCs w:val="24"/>
          <w:shd w:val="clear" w:color="auto" w:fill="FFFFFF"/>
        </w:rPr>
        <w:t>分機</w:t>
      </w:r>
      <w:r>
        <w:rPr>
          <w:rFonts w:ascii="標楷體" w:eastAsia="標楷體" w:hAnsi="標楷體" w:cs="Times New Roman"/>
          <w:color w:val="auto"/>
          <w:sz w:val="24"/>
          <w:szCs w:val="24"/>
          <w:shd w:val="clear" w:color="auto" w:fill="FFFFFF"/>
        </w:rPr>
        <w:t xml:space="preserve">5656  </w:t>
      </w:r>
      <w:r>
        <w:rPr>
          <w:rFonts w:ascii="標楷體" w:eastAsia="標楷體" w:hAnsi="標楷體" w:cs="Times New Roman"/>
          <w:color w:val="auto"/>
          <w:sz w:val="24"/>
          <w:szCs w:val="24"/>
          <w:shd w:val="clear" w:color="auto" w:fill="FFFFFF"/>
        </w:rPr>
        <w:t>蘇小姐</w:t>
      </w:r>
    </w:p>
    <w:p w:rsidR="00492C75" w:rsidRDefault="00CA1892">
      <w:pPr>
        <w:spacing w:line="0" w:lineRule="atLeast"/>
        <w:ind w:left="1984" w:firstLine="3"/>
      </w:pPr>
      <w:r>
        <w:rPr>
          <w:rFonts w:ascii="標楷體" w:eastAsia="標楷體" w:hAnsi="標楷體" w:cs="Times New Roman"/>
          <w:color w:val="auto"/>
          <w:sz w:val="24"/>
          <w:szCs w:val="24"/>
          <w:shd w:val="clear" w:color="auto" w:fill="FFFFFF"/>
        </w:rPr>
        <w:t>E-mail</w:t>
      </w:r>
      <w:r>
        <w:rPr>
          <w:rFonts w:ascii="標楷體" w:eastAsia="標楷體" w:hAnsi="標楷體" w:cs="Times New Roman"/>
          <w:color w:val="auto"/>
          <w:sz w:val="24"/>
          <w:szCs w:val="24"/>
          <w:shd w:val="clear" w:color="auto" w:fill="FFFFFF"/>
        </w:rPr>
        <w:t>：</w:t>
      </w:r>
      <w:hyperlink r:id="rId9" w:history="1">
        <w:r>
          <w:rPr>
            <w:rStyle w:val="a8"/>
            <w:rFonts w:ascii="標楷體" w:eastAsia="標楷體" w:hAnsi="標楷體" w:cs="Times New Roman"/>
            <w:sz w:val="24"/>
            <w:szCs w:val="24"/>
            <w:shd w:val="clear" w:color="auto" w:fill="FFFFFF"/>
          </w:rPr>
          <w:t>suyujui@gm.ncue.edu.tw</w:t>
        </w:r>
      </w:hyperlink>
    </w:p>
    <w:p w:rsidR="00492C75" w:rsidRDefault="00CA1892">
      <w:pPr>
        <w:spacing w:before="180" w:line="0" w:lineRule="atLeast"/>
        <w:ind w:left="706" w:firstLine="3"/>
        <w:rPr>
          <w:rFonts w:ascii="標楷體" w:eastAsia="標楷體" w:hAnsi="標楷體" w:cs="Times New Roman"/>
          <w:b/>
          <w:color w:val="auto"/>
          <w:sz w:val="24"/>
          <w:szCs w:val="24"/>
          <w:shd w:val="clear" w:color="auto" w:fill="FFFFFF"/>
        </w:rPr>
      </w:pPr>
      <w:r>
        <w:rPr>
          <w:rFonts w:ascii="標楷體" w:eastAsia="標楷體" w:hAnsi="標楷體" w:cs="Times New Roman"/>
          <w:b/>
          <w:color w:val="auto"/>
          <w:sz w:val="24"/>
          <w:szCs w:val="24"/>
          <w:shd w:val="clear" w:color="auto" w:fill="FFFFFF"/>
        </w:rPr>
        <w:t>課程單元：</w:t>
      </w:r>
    </w:p>
    <w:tbl>
      <w:tblPr>
        <w:tblW w:w="8930" w:type="dxa"/>
        <w:tblInd w:w="694" w:type="dxa"/>
        <w:tblCellMar>
          <w:left w:w="10" w:type="dxa"/>
          <w:right w:w="10" w:type="dxa"/>
        </w:tblCellMar>
        <w:tblLook w:val="0000" w:firstRow="0" w:lastRow="0" w:firstColumn="0" w:lastColumn="0" w:noHBand="0" w:noVBand="0"/>
      </w:tblPr>
      <w:tblGrid>
        <w:gridCol w:w="1985"/>
        <w:gridCol w:w="4394"/>
        <w:gridCol w:w="709"/>
        <w:gridCol w:w="1842"/>
      </w:tblGrid>
      <w:tr w:rsidR="00492C75">
        <w:tblPrEx>
          <w:tblCellMar>
            <w:top w:w="0" w:type="dxa"/>
            <w:bottom w:w="0" w:type="dxa"/>
          </w:tblCellMar>
        </w:tblPrEx>
        <w:trPr>
          <w:trHeight w:val="401"/>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260" w:lineRule="exact"/>
              <w:jc w:val="center"/>
              <w:rPr>
                <w:rFonts w:ascii="Times New Roman" w:eastAsia="標楷體" w:hAnsi="Times New Roman" w:cs="Times New Roman"/>
              </w:rPr>
            </w:pPr>
            <w:r>
              <w:rPr>
                <w:rFonts w:ascii="Times New Roman" w:eastAsia="標楷體" w:hAnsi="Times New Roman" w:cs="Times New Roman"/>
              </w:rPr>
              <w:t>課程單元</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260" w:lineRule="exact"/>
              <w:jc w:val="center"/>
              <w:rPr>
                <w:rFonts w:ascii="Times New Roman" w:eastAsia="標楷體" w:hAnsi="Times New Roman" w:cs="Times New Roman"/>
              </w:rPr>
            </w:pPr>
            <w:r>
              <w:rPr>
                <w:rFonts w:ascii="Times New Roman" w:eastAsia="標楷體" w:hAnsi="Times New Roman" w:cs="Times New Roman"/>
              </w:rPr>
              <w:t>課程大綱</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260" w:lineRule="exact"/>
              <w:jc w:val="center"/>
              <w:rPr>
                <w:rFonts w:ascii="Times New Roman" w:eastAsia="標楷體" w:hAnsi="Times New Roman" w:cs="Times New Roman"/>
              </w:rPr>
            </w:pPr>
            <w:r>
              <w:rPr>
                <w:rFonts w:ascii="Times New Roman" w:eastAsia="標楷體" w:hAnsi="Times New Roman" w:cs="Times New Roman"/>
              </w:rPr>
              <w:t>時數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260" w:lineRule="exact"/>
              <w:jc w:val="center"/>
            </w:pPr>
            <w:r>
              <w:rPr>
                <w:rFonts w:ascii="Times New Roman" w:eastAsia="標楷體" w:hAnsi="Times New Roman" w:cs="Times New Roman"/>
              </w:rPr>
              <w:t>上課時間及地點</w:t>
            </w:r>
          </w:p>
        </w:tc>
      </w:tr>
      <w:tr w:rsidR="00492C75">
        <w:tblPrEx>
          <w:tblCellMar>
            <w:top w:w="0" w:type="dxa"/>
            <w:bottom w:w="0" w:type="dxa"/>
          </w:tblCellMar>
        </w:tblPrEx>
        <w:trPr>
          <w:trHeight w:val="538"/>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260" w:lineRule="exact"/>
              <w:rPr>
                <w:rFonts w:ascii="Times New Roman" w:eastAsia="標楷體" w:hAnsi="Times New Roman" w:cs="Times New Roman"/>
                <w:szCs w:val="24"/>
              </w:rPr>
            </w:pPr>
            <w:r>
              <w:rPr>
                <w:rFonts w:ascii="Times New Roman" w:eastAsia="標楷體" w:hAnsi="Times New Roman" w:cs="Times New Roman"/>
                <w:szCs w:val="24"/>
              </w:rPr>
              <w:t>單元</w:t>
            </w:r>
            <w:r>
              <w:rPr>
                <w:rFonts w:ascii="Times New Roman" w:eastAsia="標楷體" w:hAnsi="Times New Roman" w:cs="Times New Roman"/>
                <w:szCs w:val="24"/>
              </w:rPr>
              <w:t>1-</w:t>
            </w:r>
          </w:p>
          <w:p w:rsidR="00492C75" w:rsidRDefault="00CA1892">
            <w:pPr>
              <w:spacing w:line="260" w:lineRule="exact"/>
            </w:pPr>
            <w:r>
              <w:rPr>
                <w:rFonts w:eastAsia="標楷體"/>
              </w:rPr>
              <w:t>遊戲治療的理論基礎</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0" w:lineRule="atLeast"/>
              <w:ind w:left="245" w:hanging="245"/>
              <w:rPr>
                <w:rFonts w:eastAsia="標楷體"/>
              </w:rPr>
            </w:pPr>
            <w:r>
              <w:rPr>
                <w:rFonts w:eastAsia="標楷體"/>
              </w:rPr>
              <w:t>1.</w:t>
            </w:r>
            <w:r>
              <w:rPr>
                <w:rFonts w:eastAsia="標楷體"/>
              </w:rPr>
              <w:t>遊戲治療的歷史與發展</w:t>
            </w:r>
          </w:p>
          <w:p w:rsidR="00492C75" w:rsidRDefault="00CA1892">
            <w:pPr>
              <w:spacing w:line="0" w:lineRule="atLeast"/>
              <w:ind w:left="245" w:hanging="245"/>
              <w:rPr>
                <w:rFonts w:eastAsia="標楷體"/>
              </w:rPr>
            </w:pPr>
            <w:r>
              <w:rPr>
                <w:rFonts w:eastAsia="標楷體"/>
              </w:rPr>
              <w:t>2.</w:t>
            </w:r>
            <w:r>
              <w:rPr>
                <w:rFonts w:eastAsia="標楷體"/>
              </w:rPr>
              <w:t>遊戲的意義與功能</w:t>
            </w:r>
          </w:p>
          <w:p w:rsidR="00492C75" w:rsidRDefault="00CA1892">
            <w:pPr>
              <w:spacing w:line="0" w:lineRule="atLeast"/>
              <w:ind w:left="245" w:hanging="245"/>
              <w:rPr>
                <w:rFonts w:eastAsia="標楷體"/>
              </w:rPr>
            </w:pPr>
            <w:r>
              <w:rPr>
                <w:rFonts w:eastAsia="標楷體"/>
              </w:rPr>
              <w:t>3.</w:t>
            </w:r>
            <w:r>
              <w:rPr>
                <w:rFonts w:eastAsia="標楷體"/>
              </w:rPr>
              <w:t>遊戲治療的定義、目標與相關運用</w:t>
            </w:r>
          </w:p>
          <w:p w:rsidR="00492C75" w:rsidRDefault="00CA1892">
            <w:pPr>
              <w:widowControl w:val="0"/>
              <w:spacing w:line="260" w:lineRule="exact"/>
            </w:pPr>
            <w:r>
              <w:rPr>
                <w:rFonts w:eastAsia="標楷體"/>
              </w:rPr>
              <w:t>4.</w:t>
            </w:r>
            <w:r>
              <w:rPr>
                <w:rFonts w:eastAsia="標楷體"/>
              </w:rPr>
              <w:t>遊戲治療師的條件與訓練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260" w:lineRule="exact"/>
              <w:jc w:val="center"/>
              <w:rPr>
                <w:rFonts w:ascii="Times New Roman" w:eastAsia="標楷體" w:hAnsi="Times New Roman" w:cs="Times New Roman"/>
              </w:rPr>
            </w:pPr>
            <w:r>
              <w:rPr>
                <w:rFonts w:ascii="Times New Roman" w:eastAsia="標楷體" w:hAnsi="Times New Roman" w:cs="Times New Roman"/>
              </w:rPr>
              <w:t>2.5</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pStyle w:val="a3"/>
              <w:widowControl w:val="0"/>
              <w:numPr>
                <w:ilvl w:val="0"/>
                <w:numId w:val="1"/>
              </w:numPr>
              <w:spacing w:line="260" w:lineRule="exact"/>
              <w:ind w:left="218" w:hanging="218"/>
              <w:rPr>
                <w:rFonts w:ascii="Times New Roman" w:eastAsia="標楷體" w:hAnsi="Times New Roman" w:cs="Times New Roman"/>
                <w:sz w:val="24"/>
                <w:szCs w:val="24"/>
              </w:rPr>
            </w:pPr>
            <w:r>
              <w:rPr>
                <w:rFonts w:ascii="Times New Roman" w:eastAsia="標楷體" w:hAnsi="Times New Roman" w:cs="Times New Roman"/>
                <w:sz w:val="24"/>
                <w:szCs w:val="24"/>
              </w:rPr>
              <w:t>本課程為線上數位課程，在開課時間內，任何時間都可觀看。</w:t>
            </w:r>
          </w:p>
          <w:p w:rsidR="00492C75" w:rsidRDefault="00CA1892">
            <w:pPr>
              <w:pStyle w:val="a3"/>
              <w:widowControl w:val="0"/>
              <w:numPr>
                <w:ilvl w:val="0"/>
                <w:numId w:val="1"/>
              </w:numPr>
              <w:spacing w:line="260" w:lineRule="exact"/>
              <w:ind w:left="218" w:hanging="218"/>
              <w:rPr>
                <w:rFonts w:ascii="Times New Roman" w:eastAsia="標楷體" w:hAnsi="Times New Roman" w:cs="Times New Roman"/>
                <w:sz w:val="24"/>
                <w:szCs w:val="24"/>
              </w:rPr>
            </w:pPr>
            <w:r>
              <w:rPr>
                <w:rFonts w:ascii="Times New Roman" w:eastAsia="標楷體" w:hAnsi="Times New Roman" w:cs="Times New Roman"/>
                <w:sz w:val="24"/>
                <w:szCs w:val="24"/>
              </w:rPr>
              <w:t>使用彰化師大雲端學院。</w:t>
            </w:r>
          </w:p>
        </w:tc>
      </w:tr>
      <w:tr w:rsidR="00492C75">
        <w:tblPrEx>
          <w:tblCellMar>
            <w:top w:w="0" w:type="dxa"/>
            <w:bottom w:w="0" w:type="dxa"/>
          </w:tblCellMar>
        </w:tblPrEx>
        <w:trPr>
          <w:trHeight w:val="538"/>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260" w:lineRule="exact"/>
              <w:rPr>
                <w:rFonts w:ascii="Times New Roman" w:eastAsia="標楷體" w:hAnsi="Times New Roman" w:cs="Times New Roman"/>
                <w:szCs w:val="24"/>
              </w:rPr>
            </w:pPr>
            <w:r>
              <w:rPr>
                <w:rFonts w:ascii="Times New Roman" w:eastAsia="標楷體" w:hAnsi="Times New Roman" w:cs="Times New Roman"/>
                <w:szCs w:val="24"/>
              </w:rPr>
              <w:t>單元</w:t>
            </w:r>
            <w:r>
              <w:rPr>
                <w:rFonts w:ascii="Times New Roman" w:eastAsia="標楷體" w:hAnsi="Times New Roman" w:cs="Times New Roman"/>
                <w:szCs w:val="24"/>
              </w:rPr>
              <w:t>2-</w:t>
            </w:r>
          </w:p>
          <w:p w:rsidR="00492C75" w:rsidRDefault="00CA1892">
            <w:pPr>
              <w:spacing w:line="260" w:lineRule="exact"/>
            </w:pPr>
            <w:r>
              <w:rPr>
                <w:rFonts w:eastAsia="標楷體"/>
              </w:rPr>
              <w:t>遊戲治療的執行架構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0" w:lineRule="atLeast"/>
              <w:ind w:left="245" w:hanging="245"/>
              <w:rPr>
                <w:rFonts w:eastAsia="標楷體"/>
              </w:rPr>
            </w:pPr>
            <w:r>
              <w:rPr>
                <w:rFonts w:eastAsia="標楷體"/>
              </w:rPr>
              <w:t>1.</w:t>
            </w:r>
            <w:r>
              <w:rPr>
                <w:rFonts w:eastAsia="標楷體"/>
              </w:rPr>
              <w:t>遊戲室與遊戲材料</w:t>
            </w:r>
          </w:p>
          <w:p w:rsidR="00492C75" w:rsidRDefault="00CA1892">
            <w:pPr>
              <w:spacing w:line="0" w:lineRule="atLeast"/>
              <w:ind w:left="245" w:hanging="245"/>
              <w:rPr>
                <w:rFonts w:eastAsia="標楷體"/>
              </w:rPr>
            </w:pPr>
            <w:r>
              <w:rPr>
                <w:rFonts w:eastAsia="標楷體"/>
              </w:rPr>
              <w:t>2.</w:t>
            </w:r>
            <w:r>
              <w:rPr>
                <w:rFonts w:eastAsia="標楷體"/>
              </w:rPr>
              <w:t>遊戲治療進行的基本架構與流成</w:t>
            </w:r>
          </w:p>
          <w:p w:rsidR="00492C75" w:rsidRDefault="00CA1892">
            <w:pPr>
              <w:spacing w:line="0" w:lineRule="atLeast"/>
              <w:ind w:left="245" w:hanging="245"/>
              <w:rPr>
                <w:rFonts w:eastAsia="標楷體"/>
              </w:rPr>
            </w:pPr>
            <w:r>
              <w:rPr>
                <w:rFonts w:eastAsia="標楷體"/>
              </w:rPr>
              <w:t>3.</w:t>
            </w:r>
            <w:r>
              <w:rPr>
                <w:rFonts w:eastAsia="標楷體"/>
              </w:rPr>
              <w:t>父母的角色與參與</w:t>
            </w:r>
          </w:p>
          <w:p w:rsidR="00492C75" w:rsidRDefault="00CA1892">
            <w:pPr>
              <w:spacing w:line="0" w:lineRule="atLeast"/>
              <w:ind w:left="245" w:hanging="245"/>
              <w:rPr>
                <w:rFonts w:eastAsia="標楷體"/>
              </w:rPr>
            </w:pPr>
            <w:r>
              <w:rPr>
                <w:rFonts w:eastAsia="標楷體"/>
              </w:rPr>
              <w:t>4.</w:t>
            </w:r>
            <w:r>
              <w:rPr>
                <w:rFonts w:eastAsia="標楷體"/>
              </w:rPr>
              <w:t>遊戲治療關係的開始</w:t>
            </w:r>
          </w:p>
          <w:p w:rsidR="00492C75" w:rsidRDefault="00CA1892">
            <w:pPr>
              <w:widowControl w:val="0"/>
              <w:spacing w:line="260" w:lineRule="exact"/>
            </w:pPr>
            <w:r>
              <w:rPr>
                <w:rFonts w:eastAsia="標楷體"/>
              </w:rPr>
              <w:t>5.</w:t>
            </w:r>
            <w:r>
              <w:rPr>
                <w:rFonts w:eastAsia="標楷體"/>
              </w:rPr>
              <w:t>建立關係的基本態度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260" w:lineRule="exact"/>
              <w:jc w:val="center"/>
              <w:rPr>
                <w:rFonts w:ascii="Times New Roman" w:eastAsia="標楷體" w:hAnsi="Times New Roman" w:cs="Times New Roman"/>
              </w:rPr>
            </w:pPr>
            <w:r>
              <w:rPr>
                <w:rFonts w:ascii="Times New Roman" w:eastAsia="標楷體" w:hAnsi="Times New Roman" w:cs="Times New Roman"/>
              </w:rPr>
              <w:t>3</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492C75">
            <w:pPr>
              <w:pStyle w:val="a3"/>
              <w:widowControl w:val="0"/>
              <w:numPr>
                <w:ilvl w:val="0"/>
                <w:numId w:val="2"/>
              </w:numPr>
              <w:spacing w:line="260" w:lineRule="exact"/>
              <w:ind w:left="218" w:hanging="218"/>
              <w:rPr>
                <w:rFonts w:ascii="Times New Roman" w:eastAsia="標楷體" w:hAnsi="Times New Roman" w:cs="Times New Roman"/>
              </w:rPr>
            </w:pPr>
          </w:p>
        </w:tc>
      </w:tr>
      <w:tr w:rsidR="00492C75">
        <w:tblPrEx>
          <w:tblCellMar>
            <w:top w:w="0" w:type="dxa"/>
            <w:bottom w:w="0" w:type="dxa"/>
          </w:tblCellMar>
        </w:tblPrEx>
        <w:trPr>
          <w:trHeight w:val="538"/>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260" w:lineRule="exact"/>
              <w:rPr>
                <w:rFonts w:ascii="Times New Roman" w:eastAsia="標楷體" w:hAnsi="Times New Roman" w:cs="Times New Roman"/>
                <w:szCs w:val="24"/>
              </w:rPr>
            </w:pPr>
            <w:r>
              <w:rPr>
                <w:rFonts w:ascii="Times New Roman" w:eastAsia="標楷體" w:hAnsi="Times New Roman" w:cs="Times New Roman"/>
                <w:szCs w:val="24"/>
              </w:rPr>
              <w:t>單元</w:t>
            </w:r>
            <w:r>
              <w:rPr>
                <w:rFonts w:ascii="Times New Roman" w:eastAsia="標楷體" w:hAnsi="Times New Roman" w:cs="Times New Roman"/>
                <w:szCs w:val="24"/>
              </w:rPr>
              <w:t>3-</w:t>
            </w:r>
          </w:p>
          <w:p w:rsidR="00492C75" w:rsidRDefault="00CA1892">
            <w:pPr>
              <w:spacing w:line="260" w:lineRule="exact"/>
            </w:pPr>
            <w:r>
              <w:rPr>
                <w:rFonts w:eastAsia="標楷體"/>
                <w:szCs w:val="24"/>
              </w:rPr>
              <w:t>遊戲治療的技巧</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0" w:lineRule="atLeast"/>
              <w:ind w:left="245" w:hanging="245"/>
              <w:rPr>
                <w:rFonts w:eastAsia="標楷體"/>
              </w:rPr>
            </w:pPr>
            <w:r>
              <w:rPr>
                <w:rFonts w:eastAsia="標楷體"/>
              </w:rPr>
              <w:t>1.</w:t>
            </w:r>
            <w:r>
              <w:rPr>
                <w:rFonts w:eastAsia="標楷體"/>
              </w:rPr>
              <w:t>非口語行為與口語技巧的基本原則</w:t>
            </w:r>
          </w:p>
          <w:p w:rsidR="00492C75" w:rsidRDefault="00CA1892">
            <w:pPr>
              <w:spacing w:line="0" w:lineRule="atLeast"/>
              <w:ind w:left="245" w:hanging="245"/>
              <w:rPr>
                <w:rFonts w:eastAsia="標楷體"/>
              </w:rPr>
            </w:pPr>
            <w:r>
              <w:rPr>
                <w:rFonts w:eastAsia="標楷體"/>
              </w:rPr>
              <w:t>2.</w:t>
            </w:r>
            <w:r>
              <w:rPr>
                <w:rFonts w:eastAsia="標楷體"/>
              </w:rPr>
              <w:t>建立關係的技巧</w:t>
            </w:r>
          </w:p>
          <w:p w:rsidR="00492C75" w:rsidRDefault="00CA1892">
            <w:pPr>
              <w:spacing w:line="0" w:lineRule="atLeast"/>
              <w:ind w:left="245" w:hanging="245"/>
              <w:rPr>
                <w:rFonts w:eastAsia="標楷體"/>
              </w:rPr>
            </w:pPr>
            <w:r>
              <w:rPr>
                <w:rFonts w:eastAsia="標楷體"/>
              </w:rPr>
              <w:t>3.</w:t>
            </w:r>
            <w:r>
              <w:rPr>
                <w:rFonts w:eastAsia="標楷體"/>
              </w:rPr>
              <w:t>精進反應的技巧</w:t>
            </w:r>
          </w:p>
          <w:p w:rsidR="00492C75" w:rsidRDefault="00CA1892">
            <w:pPr>
              <w:widowControl w:val="0"/>
              <w:spacing w:line="260" w:lineRule="exact"/>
            </w:pPr>
            <w:r>
              <w:rPr>
                <w:rFonts w:eastAsia="標楷體"/>
              </w:rPr>
              <w:t>4.</w:t>
            </w:r>
            <w:r>
              <w:rPr>
                <w:rFonts w:eastAsia="標楷體"/>
              </w:rPr>
              <w:t>治療性設限</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260" w:lineRule="exact"/>
              <w:jc w:val="center"/>
              <w:rPr>
                <w:rFonts w:ascii="Times New Roman" w:eastAsia="標楷體" w:hAnsi="Times New Roman" w:cs="Times New Roman"/>
              </w:rPr>
            </w:pPr>
            <w:r>
              <w:rPr>
                <w:rFonts w:ascii="Times New Roman" w:eastAsia="標楷體" w:hAnsi="Times New Roman" w:cs="Times New Roman"/>
              </w:rPr>
              <w:t>2.5</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492C75">
            <w:pPr>
              <w:pStyle w:val="a3"/>
              <w:widowControl w:val="0"/>
              <w:numPr>
                <w:ilvl w:val="0"/>
                <w:numId w:val="2"/>
              </w:numPr>
              <w:spacing w:line="260" w:lineRule="exact"/>
              <w:ind w:left="218" w:hanging="218"/>
              <w:rPr>
                <w:rFonts w:ascii="Times New Roman" w:eastAsia="標楷體" w:hAnsi="Times New Roman" w:cs="Times New Roman"/>
              </w:rPr>
            </w:pPr>
          </w:p>
        </w:tc>
      </w:tr>
      <w:tr w:rsidR="00492C75">
        <w:tblPrEx>
          <w:tblCellMar>
            <w:top w:w="0" w:type="dxa"/>
            <w:bottom w:w="0" w:type="dxa"/>
          </w:tblCellMar>
        </w:tblPrEx>
        <w:trPr>
          <w:trHeight w:val="538"/>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260" w:lineRule="exact"/>
              <w:rPr>
                <w:rFonts w:ascii="Times New Roman" w:eastAsia="標楷體" w:hAnsi="Times New Roman" w:cs="Times New Roman"/>
                <w:szCs w:val="24"/>
              </w:rPr>
            </w:pPr>
            <w:r>
              <w:rPr>
                <w:rFonts w:ascii="Times New Roman" w:eastAsia="標楷體" w:hAnsi="Times New Roman" w:cs="Times New Roman"/>
                <w:szCs w:val="24"/>
              </w:rPr>
              <w:t>單元</w:t>
            </w:r>
            <w:r>
              <w:rPr>
                <w:rFonts w:ascii="Times New Roman" w:eastAsia="標楷體" w:hAnsi="Times New Roman" w:cs="Times New Roman"/>
                <w:szCs w:val="24"/>
              </w:rPr>
              <w:t>4-</w:t>
            </w:r>
          </w:p>
          <w:p w:rsidR="00492C75" w:rsidRDefault="00CA1892">
            <w:pPr>
              <w:spacing w:line="260" w:lineRule="exact"/>
            </w:pPr>
            <w:r>
              <w:rPr>
                <w:rFonts w:eastAsia="標楷體"/>
              </w:rPr>
              <w:t>遊戲治療實務的重要議題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0" w:lineRule="atLeast"/>
              <w:ind w:left="245" w:hanging="245"/>
              <w:rPr>
                <w:rFonts w:eastAsia="標楷體"/>
              </w:rPr>
            </w:pPr>
            <w:r>
              <w:rPr>
                <w:rFonts w:eastAsia="標楷體"/>
              </w:rPr>
              <w:t>1.</w:t>
            </w:r>
            <w:r>
              <w:rPr>
                <w:rFonts w:eastAsia="標楷體"/>
              </w:rPr>
              <w:t>常見典型的兒童行為問題與因應之道</w:t>
            </w:r>
          </w:p>
          <w:p w:rsidR="00492C75" w:rsidRDefault="00CA1892">
            <w:pPr>
              <w:spacing w:line="0" w:lineRule="atLeast"/>
              <w:ind w:left="245" w:hanging="245"/>
              <w:rPr>
                <w:rFonts w:eastAsia="標楷體"/>
              </w:rPr>
            </w:pPr>
            <w:r>
              <w:rPr>
                <w:rFonts w:eastAsia="標楷體"/>
              </w:rPr>
              <w:t>2.</w:t>
            </w:r>
            <w:r>
              <w:rPr>
                <w:rFonts w:eastAsia="標楷體"/>
              </w:rPr>
              <w:t>遊戲治療歷程中常見的議題</w:t>
            </w:r>
          </w:p>
          <w:p w:rsidR="00492C75" w:rsidRDefault="00CA1892">
            <w:pPr>
              <w:spacing w:line="0" w:lineRule="atLeast"/>
              <w:ind w:left="245" w:hanging="245"/>
              <w:rPr>
                <w:rFonts w:eastAsia="標楷體"/>
              </w:rPr>
            </w:pPr>
            <w:r>
              <w:rPr>
                <w:rFonts w:eastAsia="標楷體"/>
              </w:rPr>
              <w:t>3.</w:t>
            </w:r>
            <w:r>
              <w:rPr>
                <w:rFonts w:eastAsia="標楷體"/>
              </w:rPr>
              <w:t>遊戲歷程的評估</w:t>
            </w:r>
          </w:p>
          <w:p w:rsidR="00492C75" w:rsidRDefault="00CA1892">
            <w:pPr>
              <w:spacing w:line="0" w:lineRule="atLeast"/>
              <w:ind w:left="245" w:hanging="245"/>
              <w:rPr>
                <w:rFonts w:eastAsia="標楷體"/>
              </w:rPr>
            </w:pPr>
            <w:r>
              <w:rPr>
                <w:rFonts w:eastAsia="標楷體"/>
              </w:rPr>
              <w:t>4.</w:t>
            </w:r>
            <w:r>
              <w:rPr>
                <w:rFonts w:eastAsia="標楷體"/>
              </w:rPr>
              <w:t>遊戲治療的結案</w:t>
            </w:r>
          </w:p>
          <w:p w:rsidR="00492C75" w:rsidRDefault="00CA1892">
            <w:pPr>
              <w:spacing w:line="0" w:lineRule="atLeast"/>
              <w:ind w:left="245" w:hanging="245"/>
              <w:rPr>
                <w:rFonts w:eastAsia="標楷體"/>
              </w:rPr>
            </w:pPr>
            <w:r>
              <w:rPr>
                <w:rFonts w:eastAsia="標楷體"/>
              </w:rPr>
              <w:t>5.</w:t>
            </w:r>
            <w:r>
              <w:rPr>
                <w:rFonts w:eastAsia="標楷體"/>
              </w:rPr>
              <w:t>家長諮詢</w:t>
            </w:r>
          </w:p>
          <w:p w:rsidR="00492C75" w:rsidRDefault="00CA1892">
            <w:pPr>
              <w:spacing w:line="0" w:lineRule="atLeast"/>
              <w:ind w:left="245" w:hanging="245"/>
              <w:rPr>
                <w:rFonts w:eastAsia="標楷體"/>
              </w:rPr>
            </w:pPr>
            <w:r>
              <w:rPr>
                <w:rFonts w:eastAsia="標楷體"/>
              </w:rPr>
              <w:t>6.</w:t>
            </w:r>
            <w:r>
              <w:rPr>
                <w:rFonts w:eastAsia="標楷體"/>
              </w:rPr>
              <w:t>遊戲治療的紀錄</w:t>
            </w:r>
          </w:p>
          <w:p w:rsidR="00492C75" w:rsidRDefault="00CA1892">
            <w:pPr>
              <w:widowControl w:val="0"/>
              <w:spacing w:line="260" w:lineRule="exact"/>
            </w:pPr>
            <w:r>
              <w:rPr>
                <w:rFonts w:eastAsia="標楷體"/>
              </w:rPr>
              <w:t>7.</w:t>
            </w:r>
            <w:r>
              <w:rPr>
                <w:rFonts w:eastAsia="標楷體"/>
              </w:rPr>
              <w:t>遊戲治療的專業成長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260" w:lineRule="exact"/>
              <w:jc w:val="center"/>
              <w:rPr>
                <w:rFonts w:ascii="Times New Roman" w:eastAsia="標楷體" w:hAnsi="Times New Roman" w:cs="Times New Roman"/>
              </w:rPr>
            </w:pPr>
            <w:r>
              <w:rPr>
                <w:rFonts w:ascii="Times New Roman" w:eastAsia="標楷體" w:hAnsi="Times New Roman" w:cs="Times New Roman"/>
              </w:rPr>
              <w:t>4</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492C75">
            <w:pPr>
              <w:pStyle w:val="a3"/>
              <w:widowControl w:val="0"/>
              <w:numPr>
                <w:ilvl w:val="0"/>
                <w:numId w:val="2"/>
              </w:numPr>
              <w:spacing w:line="260" w:lineRule="exact"/>
              <w:ind w:left="218" w:hanging="218"/>
              <w:rPr>
                <w:rFonts w:ascii="Times New Roman" w:eastAsia="標楷體" w:hAnsi="Times New Roman" w:cs="Times New Roman"/>
              </w:rPr>
            </w:pPr>
          </w:p>
        </w:tc>
      </w:tr>
    </w:tbl>
    <w:p w:rsidR="00492C75" w:rsidRDefault="00CA1892">
      <w:pPr>
        <w:spacing w:before="180" w:line="0" w:lineRule="atLeast"/>
        <w:ind w:left="706" w:firstLine="3"/>
        <w:rPr>
          <w:rFonts w:ascii="標楷體" w:eastAsia="標楷體" w:hAnsi="標楷體" w:cs="Times New Roman"/>
          <w:b/>
          <w:color w:val="auto"/>
          <w:sz w:val="24"/>
          <w:szCs w:val="24"/>
          <w:shd w:val="clear" w:color="auto" w:fill="FFFFFF"/>
        </w:rPr>
      </w:pPr>
      <w:r>
        <w:rPr>
          <w:rFonts w:ascii="標楷體" w:eastAsia="標楷體" w:hAnsi="標楷體" w:cs="Times New Roman"/>
          <w:b/>
          <w:color w:val="auto"/>
          <w:sz w:val="24"/>
          <w:szCs w:val="24"/>
          <w:shd w:val="clear" w:color="auto" w:fill="FFFFFF"/>
        </w:rPr>
        <w:t>師資介紹</w:t>
      </w:r>
    </w:p>
    <w:tbl>
      <w:tblPr>
        <w:tblW w:w="8922" w:type="dxa"/>
        <w:tblInd w:w="706" w:type="dxa"/>
        <w:tblCellMar>
          <w:left w:w="10" w:type="dxa"/>
          <w:right w:w="10" w:type="dxa"/>
        </w:tblCellMar>
        <w:tblLook w:val="0000" w:firstRow="0" w:lastRow="0" w:firstColumn="0" w:lastColumn="0" w:noHBand="0" w:noVBand="0"/>
      </w:tblPr>
      <w:tblGrid>
        <w:gridCol w:w="1274"/>
        <w:gridCol w:w="1559"/>
        <w:gridCol w:w="1701"/>
        <w:gridCol w:w="4388"/>
      </w:tblGrid>
      <w:tr w:rsidR="00492C75">
        <w:tblPrEx>
          <w:tblCellMar>
            <w:top w:w="0" w:type="dxa"/>
            <w:bottom w:w="0" w:type="dxa"/>
          </w:tblCellMar>
        </w:tblPrEx>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0" w:lineRule="atLeast"/>
              <w:jc w:val="center"/>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授課教師</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0" w:lineRule="atLeast"/>
              <w:jc w:val="center"/>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學歷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0" w:lineRule="atLeast"/>
              <w:jc w:val="center"/>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專長</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0" w:lineRule="atLeast"/>
              <w:jc w:val="center"/>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經歷</w:t>
            </w:r>
          </w:p>
        </w:tc>
      </w:tr>
      <w:tr w:rsidR="00492C75">
        <w:tblPrEx>
          <w:tblCellMar>
            <w:top w:w="0" w:type="dxa"/>
            <w:bottom w:w="0" w:type="dxa"/>
          </w:tblCellMar>
        </w:tblPrEx>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0" w:lineRule="atLeast"/>
              <w:jc w:val="center"/>
            </w:pPr>
            <w:r>
              <w:rPr>
                <w:rFonts w:ascii="Times New Roman" w:eastAsia="標楷體" w:hAnsi="Times New Roman"/>
                <w:sz w:val="24"/>
                <w:szCs w:val="24"/>
              </w:rPr>
              <w:t>高淑貞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spacing w:line="0" w:lineRule="atLeast"/>
            </w:pPr>
            <w:r>
              <w:rPr>
                <w:rFonts w:ascii="標楷體" w:eastAsia="標楷體" w:hAnsi="標楷體" w:cs="新細明體"/>
                <w:szCs w:val="24"/>
                <w:shd w:val="clear" w:color="auto" w:fill="FFFFFF"/>
              </w:rPr>
              <w:t>美國北德州立大學諮商哲學博士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pStyle w:val="a3"/>
              <w:numPr>
                <w:ilvl w:val="0"/>
                <w:numId w:val="3"/>
              </w:numPr>
              <w:spacing w:line="0" w:lineRule="atLeast"/>
              <w:ind w:left="317" w:hanging="317"/>
              <w:rPr>
                <w:rFonts w:ascii="標楷體" w:eastAsia="標楷體" w:hAnsi="標楷體" w:cs="新細明體"/>
                <w:szCs w:val="24"/>
                <w:shd w:val="clear" w:color="auto" w:fill="FFFFFF"/>
              </w:rPr>
            </w:pPr>
            <w:r>
              <w:rPr>
                <w:rFonts w:ascii="標楷體" w:eastAsia="標楷體" w:hAnsi="標楷體" w:cs="新細明體"/>
                <w:szCs w:val="24"/>
                <w:shd w:val="clear" w:color="auto" w:fill="FFFFFF"/>
              </w:rPr>
              <w:t>遊戲治療</w:t>
            </w:r>
          </w:p>
          <w:p w:rsidR="00492C75" w:rsidRDefault="00CA1892">
            <w:pPr>
              <w:pStyle w:val="a3"/>
              <w:numPr>
                <w:ilvl w:val="0"/>
                <w:numId w:val="3"/>
              </w:numPr>
              <w:spacing w:line="0" w:lineRule="atLeast"/>
              <w:ind w:left="317" w:hanging="317"/>
              <w:rPr>
                <w:rFonts w:ascii="標楷體" w:eastAsia="標楷體" w:hAnsi="標楷體" w:cs="新細明體"/>
                <w:szCs w:val="24"/>
                <w:shd w:val="clear" w:color="auto" w:fill="FFFFFF"/>
              </w:rPr>
            </w:pPr>
            <w:r>
              <w:rPr>
                <w:rFonts w:ascii="標楷體" w:eastAsia="標楷體" w:hAnsi="標楷體" w:cs="新細明體"/>
                <w:szCs w:val="24"/>
                <w:shd w:val="clear" w:color="auto" w:fill="FFFFFF"/>
              </w:rPr>
              <w:t>表達性治療</w:t>
            </w:r>
          </w:p>
          <w:p w:rsidR="00492C75" w:rsidRDefault="00CA1892">
            <w:pPr>
              <w:pStyle w:val="a3"/>
              <w:numPr>
                <w:ilvl w:val="0"/>
                <w:numId w:val="3"/>
              </w:numPr>
              <w:spacing w:line="0" w:lineRule="atLeast"/>
              <w:ind w:left="317" w:hanging="317"/>
              <w:rPr>
                <w:rFonts w:ascii="標楷體" w:eastAsia="標楷體" w:hAnsi="標楷體" w:cs="新細明體"/>
                <w:szCs w:val="24"/>
                <w:shd w:val="clear" w:color="auto" w:fill="FFFFFF"/>
              </w:rPr>
            </w:pPr>
            <w:r>
              <w:rPr>
                <w:rFonts w:ascii="標楷體" w:eastAsia="標楷體" w:hAnsi="標楷體" w:cs="新細明體"/>
                <w:szCs w:val="24"/>
                <w:shd w:val="clear" w:color="auto" w:fill="FFFFFF"/>
              </w:rPr>
              <w:t>兒童青少年期偏差行為</w:t>
            </w:r>
          </w:p>
          <w:p w:rsidR="00492C75" w:rsidRDefault="00CA1892">
            <w:pPr>
              <w:pStyle w:val="a3"/>
              <w:numPr>
                <w:ilvl w:val="0"/>
                <w:numId w:val="3"/>
              </w:numPr>
              <w:spacing w:line="0" w:lineRule="atLeast"/>
              <w:ind w:left="317" w:hanging="317"/>
              <w:rPr>
                <w:rFonts w:ascii="標楷體" w:eastAsia="標楷體" w:hAnsi="標楷體" w:cs="新細明體"/>
                <w:szCs w:val="24"/>
                <w:shd w:val="clear" w:color="auto" w:fill="FFFFFF"/>
              </w:rPr>
            </w:pPr>
            <w:r>
              <w:rPr>
                <w:rFonts w:ascii="標楷體" w:eastAsia="標楷體" w:hAnsi="標楷體" w:cs="新細明體"/>
                <w:szCs w:val="24"/>
                <w:shd w:val="clear" w:color="auto" w:fill="FFFFFF"/>
              </w:rPr>
              <w:t>親子關係與父母諮詢</w:t>
            </w:r>
          </w:p>
          <w:p w:rsidR="00492C75" w:rsidRDefault="00CA1892">
            <w:pPr>
              <w:pStyle w:val="a3"/>
              <w:numPr>
                <w:ilvl w:val="0"/>
                <w:numId w:val="3"/>
              </w:numPr>
              <w:spacing w:line="0" w:lineRule="atLeast"/>
              <w:ind w:left="317" w:hanging="317"/>
            </w:pPr>
            <w:r>
              <w:rPr>
                <w:rFonts w:ascii="標楷體" w:eastAsia="標楷體" w:hAnsi="標楷體" w:cs="新細明體"/>
                <w:szCs w:val="24"/>
                <w:shd w:val="clear" w:color="auto" w:fill="FFFFFF"/>
              </w:rPr>
              <w:t>諮商師督導</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C75" w:rsidRDefault="00CA1892">
            <w:pPr>
              <w:pStyle w:val="a3"/>
              <w:numPr>
                <w:ilvl w:val="0"/>
                <w:numId w:val="3"/>
              </w:numPr>
              <w:spacing w:line="0" w:lineRule="atLeast"/>
              <w:ind w:left="317" w:hanging="317"/>
              <w:rPr>
                <w:rFonts w:ascii="標楷體" w:eastAsia="標楷體" w:hAnsi="標楷體" w:cs="新細明體"/>
                <w:szCs w:val="24"/>
                <w:shd w:val="clear" w:color="auto" w:fill="FFFFFF"/>
              </w:rPr>
            </w:pPr>
            <w:r>
              <w:rPr>
                <w:rFonts w:ascii="標楷體" w:eastAsia="標楷體" w:hAnsi="標楷體" w:cs="新細明體"/>
                <w:szCs w:val="24"/>
                <w:shd w:val="clear" w:color="auto" w:fill="FFFFFF"/>
              </w:rPr>
              <w:t>國立彰化師大輔導與諮商學系專任教授</w:t>
            </w:r>
            <w:r>
              <w:rPr>
                <w:rFonts w:ascii="標楷體" w:eastAsia="標楷體" w:hAnsi="標楷體" w:cs="新細明體"/>
                <w:szCs w:val="24"/>
                <w:shd w:val="clear" w:color="auto" w:fill="FFFFFF"/>
              </w:rPr>
              <w:t xml:space="preserve"> </w:t>
            </w:r>
          </w:p>
          <w:p w:rsidR="00492C75" w:rsidRDefault="00CA1892">
            <w:pPr>
              <w:pStyle w:val="a3"/>
              <w:numPr>
                <w:ilvl w:val="0"/>
                <w:numId w:val="3"/>
              </w:numPr>
              <w:spacing w:line="0" w:lineRule="atLeast"/>
              <w:ind w:left="317" w:hanging="317"/>
              <w:rPr>
                <w:rFonts w:ascii="標楷體" w:eastAsia="標楷體" w:hAnsi="標楷體" w:cs="新細明體"/>
                <w:szCs w:val="24"/>
                <w:shd w:val="clear" w:color="auto" w:fill="FFFFFF"/>
              </w:rPr>
            </w:pPr>
            <w:r>
              <w:rPr>
                <w:rFonts w:ascii="標楷體" w:eastAsia="標楷體" w:hAnsi="標楷體" w:cs="新細明體"/>
                <w:szCs w:val="24"/>
                <w:shd w:val="clear" w:color="auto" w:fill="FFFFFF"/>
              </w:rPr>
              <w:t>國立彰化師大教務長</w:t>
            </w:r>
          </w:p>
          <w:p w:rsidR="00492C75" w:rsidRDefault="00CA1892">
            <w:pPr>
              <w:pStyle w:val="a3"/>
              <w:numPr>
                <w:ilvl w:val="0"/>
                <w:numId w:val="3"/>
              </w:numPr>
              <w:spacing w:line="0" w:lineRule="atLeast"/>
              <w:ind w:left="317" w:hanging="317"/>
              <w:rPr>
                <w:rFonts w:ascii="標楷體" w:eastAsia="標楷體" w:hAnsi="標楷體" w:cs="新細明體"/>
                <w:szCs w:val="24"/>
                <w:shd w:val="clear" w:color="auto" w:fill="FFFFFF"/>
              </w:rPr>
            </w:pPr>
            <w:r>
              <w:rPr>
                <w:rFonts w:ascii="標楷體" w:eastAsia="標楷體" w:hAnsi="標楷體" w:cs="新細明體"/>
                <w:szCs w:val="24"/>
                <w:shd w:val="clear" w:color="auto" w:fill="FFFFFF"/>
              </w:rPr>
              <w:t>國立彰化師大學生事務長</w:t>
            </w:r>
          </w:p>
          <w:p w:rsidR="00492C75" w:rsidRDefault="00CA1892">
            <w:pPr>
              <w:pStyle w:val="a3"/>
              <w:numPr>
                <w:ilvl w:val="0"/>
                <w:numId w:val="3"/>
              </w:numPr>
              <w:spacing w:line="0" w:lineRule="atLeast"/>
              <w:ind w:left="317" w:hanging="317"/>
              <w:rPr>
                <w:rFonts w:ascii="標楷體" w:eastAsia="標楷體" w:hAnsi="標楷體" w:cs="新細明體"/>
                <w:szCs w:val="24"/>
                <w:shd w:val="clear" w:color="auto" w:fill="FFFFFF"/>
              </w:rPr>
            </w:pPr>
            <w:r>
              <w:rPr>
                <w:rFonts w:ascii="標楷體" w:eastAsia="標楷體" w:hAnsi="標楷體" w:cs="新細明體"/>
                <w:szCs w:val="24"/>
                <w:shd w:val="clear" w:color="auto" w:fill="FFFFFF"/>
              </w:rPr>
              <w:t>國立彰化師大教育學院院長</w:t>
            </w:r>
          </w:p>
          <w:p w:rsidR="00492C75" w:rsidRDefault="00CA1892">
            <w:pPr>
              <w:pStyle w:val="a3"/>
              <w:numPr>
                <w:ilvl w:val="0"/>
                <w:numId w:val="3"/>
              </w:numPr>
              <w:spacing w:line="0" w:lineRule="atLeast"/>
              <w:ind w:left="317" w:hanging="317"/>
              <w:rPr>
                <w:rFonts w:ascii="標楷體" w:eastAsia="標楷體" w:hAnsi="標楷體" w:cs="新細明體"/>
                <w:szCs w:val="24"/>
                <w:shd w:val="clear" w:color="auto" w:fill="FFFFFF"/>
              </w:rPr>
            </w:pPr>
            <w:r>
              <w:rPr>
                <w:rFonts w:ascii="標楷體" w:eastAsia="標楷體" w:hAnsi="標楷體" w:cs="新細明體"/>
                <w:szCs w:val="24"/>
                <w:shd w:val="clear" w:color="auto" w:fill="FFFFFF"/>
              </w:rPr>
              <w:t>國立彰化師大輔導與諮商學系主任</w:t>
            </w:r>
          </w:p>
          <w:p w:rsidR="00492C75" w:rsidRDefault="00CA1892">
            <w:pPr>
              <w:pStyle w:val="a3"/>
              <w:numPr>
                <w:ilvl w:val="0"/>
                <w:numId w:val="3"/>
              </w:numPr>
              <w:spacing w:line="0" w:lineRule="atLeast"/>
              <w:ind w:left="317" w:hanging="317"/>
              <w:rPr>
                <w:rFonts w:ascii="標楷體" w:eastAsia="標楷體" w:hAnsi="標楷體" w:cs="新細明體"/>
                <w:szCs w:val="24"/>
                <w:shd w:val="clear" w:color="auto" w:fill="FFFFFF"/>
              </w:rPr>
            </w:pPr>
            <w:r>
              <w:rPr>
                <w:rFonts w:ascii="標楷體" w:eastAsia="標楷體" w:hAnsi="標楷體" w:cs="新細明體"/>
                <w:szCs w:val="24"/>
                <w:shd w:val="clear" w:color="auto" w:fill="FFFFFF"/>
              </w:rPr>
              <w:t>國立彰化師大社區諮商與潛能發展中心主任</w:t>
            </w:r>
            <w:r>
              <w:rPr>
                <w:rFonts w:ascii="標楷體" w:eastAsia="標楷體" w:hAnsi="標楷體" w:cs="新細明體"/>
                <w:szCs w:val="24"/>
                <w:shd w:val="clear" w:color="auto" w:fill="FFFFFF"/>
              </w:rPr>
              <w:t xml:space="preserve"> </w:t>
            </w:r>
          </w:p>
          <w:p w:rsidR="00492C75" w:rsidRDefault="00CA1892">
            <w:pPr>
              <w:pStyle w:val="a3"/>
              <w:numPr>
                <w:ilvl w:val="0"/>
                <w:numId w:val="3"/>
              </w:numPr>
              <w:spacing w:line="0" w:lineRule="atLeast"/>
              <w:ind w:left="317" w:hanging="317"/>
              <w:rPr>
                <w:rFonts w:ascii="標楷體" w:eastAsia="標楷體" w:hAnsi="標楷體" w:cs="新細明體"/>
                <w:szCs w:val="24"/>
                <w:shd w:val="clear" w:color="auto" w:fill="FFFFFF"/>
              </w:rPr>
            </w:pPr>
            <w:r>
              <w:rPr>
                <w:rFonts w:ascii="標楷體" w:eastAsia="標楷體" w:hAnsi="標楷體" w:cs="新細明體"/>
                <w:szCs w:val="24"/>
                <w:shd w:val="clear" w:color="auto" w:fill="FFFFFF"/>
              </w:rPr>
              <w:t>台灣遊戲治療學會創會理事長</w:t>
            </w:r>
            <w:r>
              <w:rPr>
                <w:rFonts w:ascii="標楷體" w:eastAsia="標楷體" w:hAnsi="標楷體" w:cs="新細明體"/>
                <w:szCs w:val="24"/>
                <w:shd w:val="clear" w:color="auto" w:fill="FFFFFF"/>
              </w:rPr>
              <w:t xml:space="preserve"> </w:t>
            </w:r>
          </w:p>
          <w:p w:rsidR="00492C75" w:rsidRDefault="00492C75">
            <w:pPr>
              <w:widowControl w:val="0"/>
              <w:autoSpaceDE w:val="0"/>
              <w:spacing w:line="240" w:lineRule="auto"/>
              <w:rPr>
                <w:rFonts w:ascii="標楷體" w:eastAsia="標楷體" w:hAnsi="標楷體"/>
                <w:sz w:val="24"/>
                <w:szCs w:val="24"/>
              </w:rPr>
            </w:pPr>
          </w:p>
        </w:tc>
      </w:tr>
    </w:tbl>
    <w:p w:rsidR="00492C75" w:rsidRDefault="00492C75">
      <w:pPr>
        <w:spacing w:before="180" w:line="0" w:lineRule="atLeast"/>
        <w:ind w:left="706" w:firstLine="3"/>
        <w:rPr>
          <w:rFonts w:ascii="標楷體" w:eastAsia="標楷體" w:hAnsi="標楷體" w:cs="Times New Roman"/>
          <w:b/>
          <w:color w:val="auto"/>
          <w:sz w:val="2"/>
          <w:szCs w:val="2"/>
          <w:shd w:val="clear" w:color="auto" w:fill="FFFFFF"/>
        </w:rPr>
      </w:pPr>
    </w:p>
    <w:sectPr w:rsidR="00492C75">
      <w:headerReference w:type="default" r:id="rId10"/>
      <w:footerReference w:type="default" r:id="rId11"/>
      <w:pgSz w:w="11906" w:h="16838"/>
      <w:pgMar w:top="567" w:right="1134" w:bottom="567" w:left="1134" w:header="0" w:footer="0" w:gutter="0"/>
      <w:cols w:space="720"/>
      <w:docGrid w:type="lines" w:linePitch="4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892" w:rsidRDefault="00CA1892">
      <w:pPr>
        <w:spacing w:line="240" w:lineRule="auto"/>
      </w:pPr>
      <w:r>
        <w:separator/>
      </w:r>
    </w:p>
  </w:endnote>
  <w:endnote w:type="continuationSeparator" w:id="0">
    <w:p w:rsidR="00CA1892" w:rsidRDefault="00CA18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AF1" w:rsidRDefault="00CA1892">
    <w:pPr>
      <w:pStyle w:val="a6"/>
      <w:ind w:right="800"/>
    </w:pPr>
    <w:r>
      <w:rPr>
        <w:rFonts w:ascii="標楷體" w:eastAsia="標楷體" w:hAnsi="標楷體"/>
        <w:noProof/>
      </w:rPr>
      <w:drawing>
        <wp:inline distT="0" distB="0" distL="0" distR="0">
          <wp:extent cx="6185916" cy="561313"/>
          <wp:effectExtent l="0" t="0" r="5334" b="0"/>
          <wp:docPr id="3" name="Picture 2" descr="D:\進教研陳純恩\文宣設計\TTQS\桌牌底圖.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83649" b="5431"/>
                  <a:stretch>
                    <a:fillRect/>
                  </a:stretch>
                </pic:blipFill>
                <pic:spPr>
                  <a:xfrm>
                    <a:off x="0" y="0"/>
                    <a:ext cx="6185916" cy="561313"/>
                  </a:xfrm>
                  <a:prstGeom prst="rect">
                    <a:avLst/>
                  </a:prstGeom>
                  <a:noFill/>
                  <a:ln>
                    <a:noFill/>
                    <a:prstDash/>
                  </a:ln>
                </pic:spPr>
              </pic:pic>
            </a:graphicData>
          </a:graphic>
        </wp:inline>
      </w:drawing>
    </w:r>
  </w:p>
  <w:p w:rsidR="00032AF1" w:rsidRDefault="00CA1892">
    <w:pPr>
      <w:pStyle w:val="a6"/>
      <w:ind w:right="8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892" w:rsidRDefault="00CA1892">
      <w:pPr>
        <w:spacing w:line="240" w:lineRule="auto"/>
      </w:pPr>
      <w:r>
        <w:separator/>
      </w:r>
    </w:p>
  </w:footnote>
  <w:footnote w:type="continuationSeparator" w:id="0">
    <w:p w:rsidR="00CA1892" w:rsidRDefault="00CA18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AF1" w:rsidRDefault="00CA1892">
    <w:pPr>
      <w:pStyle w:val="a4"/>
    </w:pPr>
  </w:p>
  <w:p w:rsidR="00032AF1" w:rsidRDefault="00CA1892">
    <w:pPr>
      <w:pStyle w:val="a4"/>
    </w:pPr>
    <w:r>
      <w:rPr>
        <w:noProof/>
      </w:rPr>
      <w:drawing>
        <wp:inline distT="0" distB="0" distL="0" distR="0">
          <wp:extent cx="6120134" cy="917691"/>
          <wp:effectExtent l="0" t="0" r="0" b="0"/>
          <wp:docPr id="1" name="圖片 5" descr="D:\進教研陳純恩\文宣設計\學校風景\banner003_banner00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0134" cy="917691"/>
                  </a:xfrm>
                  <a:prstGeom prst="rect">
                    <a:avLst/>
                  </a:prstGeom>
                  <a:noFill/>
                  <a:ln>
                    <a:noFill/>
                    <a:prstDash/>
                  </a:ln>
                </pic:spPr>
              </pic:pic>
            </a:graphicData>
          </a:graphic>
        </wp:inline>
      </w:drawing>
    </w:r>
  </w:p>
  <w:p w:rsidR="00032AF1" w:rsidRDefault="00CA1892">
    <w:pPr>
      <w:pStyle w:val="a4"/>
    </w:pPr>
    <w:r>
      <w:rPr>
        <w:rFonts w:ascii="標楷體" w:eastAsia="標楷體" w:hAnsi="標楷體"/>
        <w:b/>
        <w:noProof/>
        <w:sz w:val="40"/>
        <w:szCs w:val="40"/>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-630</wp:posOffset>
              </wp:positionV>
              <wp:extent cx="1242697" cy="196852"/>
              <wp:effectExtent l="0" t="0" r="14603" b="12698"/>
              <wp:wrapNone/>
              <wp:docPr id="2" name="文字方塊 2"/>
              <wp:cNvGraphicFramePr/>
              <a:graphic xmlns:a="http://schemas.openxmlformats.org/drawingml/2006/main">
                <a:graphicData uri="http://schemas.microsoft.com/office/word/2010/wordprocessingShape">
                  <wps:wsp>
                    <wps:cNvSpPr txBox="1"/>
                    <wps:spPr>
                      <a:xfrm>
                        <a:off x="0" y="0"/>
                        <a:ext cx="1242697" cy="196852"/>
                      </a:xfrm>
                      <a:prstGeom prst="rect">
                        <a:avLst/>
                      </a:prstGeom>
                      <a:solidFill>
                        <a:srgbClr val="FFFFFF"/>
                      </a:solidFill>
                      <a:ln w="9528" cmpd="dbl">
                        <a:solidFill>
                          <a:srgbClr val="000000"/>
                        </a:solidFill>
                        <a:prstDash val="solid"/>
                      </a:ln>
                    </wps:spPr>
                    <wps:txbx>
                      <w:txbxContent>
                        <w:p w:rsidR="00032AF1" w:rsidRDefault="00CA1892">
                          <w:pPr>
                            <w:rPr>
                              <w:b/>
                            </w:rPr>
                          </w:pPr>
                          <w:r>
                            <w:rPr>
                              <w:b/>
                            </w:rPr>
                            <w:t>推廣教育</w:t>
                          </w:r>
                          <w:r>
                            <w:rPr>
                              <w:b/>
                            </w:rPr>
                            <w:t>-</w:t>
                          </w:r>
                          <w:r>
                            <w:rPr>
                              <w:b/>
                            </w:rPr>
                            <w:t>非學分班</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05pt;width:97.85pt;height:15.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" strokeweight=".26467mm">
              <v:stroke linestyle="thinThin"/>
              <v:textbox inset="0,0,0,0">
                <w:txbxContent>
                  <w:p w:rsidR="00032AF1" w:rsidRDefault="00CA1892">
                    <w:pPr>
                      <w:rPr>
                        <w:b/>
                      </w:rPr>
                    </w:pPr>
                    <w:r>
                      <w:rPr>
                        <w:b/>
                      </w:rPr>
                      <w:t>推廣教育</w:t>
                    </w:r>
                    <w:r>
                      <w:rPr>
                        <w:b/>
                      </w:rPr>
                      <w:t>-</w:t>
                    </w:r>
                    <w:r>
                      <w:rPr>
                        <w:b/>
                      </w:rPr>
                      <w:t>非學分班</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1380"/>
    <w:multiLevelType w:val="multilevel"/>
    <w:tmpl w:val="A0B6D5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4C42037"/>
    <w:multiLevelType w:val="multilevel"/>
    <w:tmpl w:val="4BF66C7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5977725"/>
    <w:multiLevelType w:val="multilevel"/>
    <w:tmpl w:val="105879D6"/>
    <w:lvl w:ilvl="0">
      <w:numFmt w:val="bullet"/>
      <w:lvlText w:val=""/>
      <w:lvlJc w:val="left"/>
      <w:pPr>
        <w:ind w:left="73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92C75"/>
    <w:rsid w:val="00492C75"/>
    <w:rsid w:val="00CA1892"/>
    <w:rsid w:val="00DD24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71AD5-CF4F-4C29-BD0A-25CB4DC2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276" w:lineRule="auto"/>
    </w:pPr>
    <w:rPr>
      <w:rFonts w:ascii="Arial" w:hAnsi="Arial" w:cs="Arial"/>
      <w:color w:val="000000"/>
      <w:kern w:val="0"/>
      <w:sz w:val="22"/>
    </w:rPr>
  </w:style>
  <w:style w:type="paragraph" w:styleId="1">
    <w:name w:val="heading 1"/>
    <w:basedOn w:val="a"/>
    <w:next w:val="a"/>
    <w:pPr>
      <w:keepNext/>
      <w:spacing w:before="180" w:after="180" w:line="720" w:lineRule="auto"/>
      <w:outlineLvl w:val="0"/>
    </w:pPr>
    <w:rPr>
      <w:rFonts w:ascii="Cambria" w:hAnsi="Cambria" w:cs="Times New Roman"/>
      <w:b/>
      <w:bCs/>
      <w:kern w:val="3"/>
      <w:sz w:val="52"/>
      <w:szCs w:val="52"/>
    </w:rPr>
  </w:style>
  <w:style w:type="paragraph" w:styleId="2">
    <w:name w:val="heading 2"/>
    <w:basedOn w:val="a"/>
    <w:pPr>
      <w:spacing w:before="100" w:after="100"/>
      <w:outlineLvl w:val="1"/>
    </w:pPr>
    <w:rPr>
      <w:rFonts w:ascii="新細明體" w:hAnsi="新細明體" w:cs="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character" w:styleId="a9">
    <w:name w:val="FollowedHyperlink"/>
    <w:basedOn w:val="a0"/>
    <w:rPr>
      <w:color w:val="800080"/>
      <w:u w:val="single"/>
    </w:rPr>
  </w:style>
  <w:style w:type="paragraph" w:customStyle="1" w:styleId="font0">
    <w:name w:val="font0"/>
    <w:basedOn w:val="a"/>
    <w:pPr>
      <w:spacing w:before="100" w:after="100"/>
    </w:pPr>
    <w:rPr>
      <w:rFonts w:ascii="新細明體" w:hAnsi="新細明體" w:cs="Times New Roman"/>
      <w:szCs w:val="24"/>
    </w:rPr>
  </w:style>
  <w:style w:type="paragraph" w:styleId="aa">
    <w:name w:val="Balloon Text"/>
    <w:basedOn w:val="a"/>
    <w:rPr>
      <w:rFonts w:ascii="Cambria" w:hAnsi="Cambria" w:cs="Times New Roman"/>
      <w:sz w:val="18"/>
      <w:szCs w:val="18"/>
    </w:rPr>
  </w:style>
  <w:style w:type="character" w:customStyle="1" w:styleId="ab">
    <w:name w:val="註解方塊文字 字元"/>
    <w:basedOn w:val="a0"/>
    <w:rPr>
      <w:rFonts w:ascii="Cambria" w:eastAsia="新細明體" w:hAnsi="Cambria" w:cs="Times New Roman"/>
      <w:sz w:val="18"/>
      <w:szCs w:val="18"/>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ac">
    <w:name w:val="附表一"/>
    <w:basedOn w:val="a"/>
    <w:autoRedefine/>
    <w:pPr>
      <w:snapToGrid w:val="0"/>
      <w:spacing w:line="480" w:lineRule="exact"/>
      <w:ind w:left="1985" w:hanging="1277"/>
    </w:pPr>
    <w:rPr>
      <w:rFonts w:ascii="標楷體" w:eastAsia="標楷體" w:hAnsi="標楷體" w:cs="Times New Roman"/>
      <w:sz w:val="28"/>
      <w:szCs w:val="28"/>
    </w:rPr>
  </w:style>
  <w:style w:type="paragraph" w:styleId="ad">
    <w:name w:val="annotation text"/>
    <w:basedOn w:val="a"/>
    <w:rPr>
      <w:rFonts w:ascii="Times New Roman" w:hAnsi="Times New Roman" w:cs="Times New Roman"/>
      <w:szCs w:val="20"/>
    </w:rPr>
  </w:style>
  <w:style w:type="character" w:customStyle="1" w:styleId="ae">
    <w:name w:val="註解文字 字元"/>
    <w:basedOn w:val="a0"/>
    <w:rPr>
      <w:rFonts w:ascii="Times New Roman" w:eastAsia="新細明體" w:hAnsi="Times New Roman" w:cs="Times New Roman"/>
      <w:szCs w:val="20"/>
    </w:rPr>
  </w:style>
  <w:style w:type="character" w:customStyle="1" w:styleId="apple-converted-space">
    <w:name w:val="apple-converted-space"/>
    <w:basedOn w:val="a0"/>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character" w:customStyle="1" w:styleId="HTML0">
    <w:name w:val="HTML 預設格式 字元"/>
    <w:basedOn w:val="a0"/>
    <w:rPr>
      <w:rFonts w:ascii="細明體" w:eastAsia="細明體" w:hAnsi="細明體" w:cs="細明體"/>
      <w:kern w:val="0"/>
      <w:szCs w:val="24"/>
    </w:rPr>
  </w:style>
  <w:style w:type="character" w:styleId="af">
    <w:name w:val="Strong"/>
    <w:basedOn w:val="a0"/>
    <w:rPr>
      <w:b/>
      <w:bCs/>
    </w:rPr>
  </w:style>
  <w:style w:type="character" w:styleId="af0">
    <w:name w:val="Emphasis"/>
    <w:basedOn w:val="a0"/>
    <w:rPr>
      <w:i/>
      <w:iCs/>
    </w:rPr>
  </w:style>
  <w:style w:type="character" w:customStyle="1" w:styleId="20">
    <w:name w:val="標題 2 字元"/>
    <w:basedOn w:val="a0"/>
    <w:rPr>
      <w:rFonts w:ascii="新細明體" w:eastAsia="新細明體" w:hAnsi="新細明體" w:cs="新細明體"/>
      <w:b/>
      <w:bCs/>
      <w:kern w:val="0"/>
      <w:sz w:val="36"/>
      <w:szCs w:val="36"/>
    </w:rPr>
  </w:style>
  <w:style w:type="character" w:customStyle="1" w:styleId="apple-style-span">
    <w:name w:val="apple-style-spa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ps.ncue.edu.tw/cee/login.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yujui@gm.ncue.edu.t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師大</dc:creator>
  <cp:lastModifiedBy>教導</cp:lastModifiedBy>
  <cp:revision>2</cp:revision>
  <cp:lastPrinted>2019-01-18T00:24:00Z</cp:lastPrinted>
  <dcterms:created xsi:type="dcterms:W3CDTF">2020-06-08T11:07:00Z</dcterms:created>
  <dcterms:modified xsi:type="dcterms:W3CDTF">2020-06-08T11:07:00Z</dcterms:modified>
</cp:coreProperties>
</file>