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9E" w:rsidRDefault="00F803B1">
      <w:pPr>
        <w:pStyle w:val="Textbody"/>
        <w:spacing w:line="460" w:lineRule="exact"/>
        <w:jc w:val="both"/>
        <w:rPr>
          <w:rFonts w:ascii="標楷體" w:eastAsia="標楷體" w:hAnsi="標楷體"/>
          <w:sz w:val="40"/>
          <w:szCs w:val="40"/>
        </w:rPr>
      </w:pPr>
      <w:bookmarkStart w:id="0" w:name="_GoBack"/>
      <w:r>
        <w:rPr>
          <w:rFonts w:ascii="標楷體" w:eastAsia="標楷體" w:hAnsi="標楷體"/>
          <w:sz w:val="40"/>
          <w:szCs w:val="40"/>
        </w:rPr>
        <w:t>國民小學教師加註各領域專長專門課程架構表實施要點修正規定</w:t>
      </w:r>
    </w:p>
    <w:bookmarkEnd w:id="0"/>
    <w:p w:rsidR="003F259E" w:rsidRDefault="00F803B1">
      <w:pPr>
        <w:pStyle w:val="a3"/>
        <w:spacing w:line="460" w:lineRule="exact"/>
        <w:ind w:left="560" w:hanging="560"/>
        <w:jc w:val="both"/>
      </w:pPr>
      <w:r>
        <w:rPr>
          <w:sz w:val="28"/>
          <w:szCs w:val="28"/>
        </w:rPr>
        <w:t>一、</w:t>
      </w:r>
      <w:r>
        <w:rPr>
          <w:rFonts w:cs="Times New Roman"/>
          <w:bCs/>
          <w:kern w:val="0"/>
          <w:sz w:val="28"/>
          <w:szCs w:val="28"/>
        </w:rPr>
        <w:t>教育部</w:t>
      </w:r>
      <w:r>
        <w:rPr>
          <w:rFonts w:cs="Times New Roman"/>
          <w:bCs/>
          <w:kern w:val="0"/>
          <w:sz w:val="28"/>
          <w:szCs w:val="28"/>
        </w:rPr>
        <w:t>(</w:t>
      </w:r>
      <w:r>
        <w:rPr>
          <w:rFonts w:cs="Times New Roman"/>
          <w:bCs/>
          <w:kern w:val="0"/>
          <w:sz w:val="28"/>
          <w:szCs w:val="28"/>
        </w:rPr>
        <w:t>以下簡稱本部</w:t>
      </w:r>
      <w:r>
        <w:rPr>
          <w:rFonts w:cs="Times New Roman"/>
          <w:bCs/>
          <w:kern w:val="0"/>
          <w:sz w:val="28"/>
          <w:szCs w:val="28"/>
        </w:rPr>
        <w:t>)</w:t>
      </w:r>
      <w:r>
        <w:rPr>
          <w:rFonts w:cs="Times New Roman"/>
          <w:bCs/>
          <w:kern w:val="0"/>
          <w:sz w:val="28"/>
          <w:szCs w:val="28"/>
        </w:rPr>
        <w:t>為執行師資培育法第三條第六款與師資培育法施行細則第二條及第五條第二項規定，特訂定本要點。</w:t>
      </w:r>
    </w:p>
    <w:p w:rsidR="003F259E" w:rsidRDefault="00F803B1">
      <w:pPr>
        <w:pStyle w:val="a3"/>
        <w:spacing w:line="460" w:lineRule="exact"/>
        <w:ind w:left="560" w:hanging="560"/>
        <w:jc w:val="both"/>
      </w:pPr>
      <w:r>
        <w:rPr>
          <w:sz w:val="28"/>
          <w:szCs w:val="28"/>
        </w:rPr>
        <w:t>二、</w:t>
      </w:r>
      <w:r>
        <w:rPr>
          <w:rFonts w:cs="Times New Roman"/>
          <w:bCs/>
          <w:kern w:val="0"/>
          <w:sz w:val="28"/>
          <w:szCs w:val="28"/>
        </w:rPr>
        <w:t>國民小學教師加註各領域專長專門課程</w:t>
      </w:r>
      <w:r>
        <w:rPr>
          <w:rFonts w:cs="Times New Roman"/>
          <w:bCs/>
          <w:kern w:val="0"/>
          <w:sz w:val="28"/>
          <w:szCs w:val="28"/>
        </w:rPr>
        <w:t>(</w:t>
      </w:r>
      <w:r>
        <w:rPr>
          <w:rFonts w:cs="Times New Roman"/>
          <w:bCs/>
          <w:kern w:val="0"/>
          <w:sz w:val="28"/>
          <w:szCs w:val="28"/>
        </w:rPr>
        <w:t>以下簡稱國小加註專門課程</w:t>
      </w:r>
      <w:r>
        <w:rPr>
          <w:rFonts w:cs="Times New Roman"/>
          <w:bCs/>
          <w:kern w:val="0"/>
          <w:sz w:val="28"/>
          <w:szCs w:val="28"/>
        </w:rPr>
        <w:t>)</w:t>
      </w:r>
      <w:r>
        <w:rPr>
          <w:rFonts w:cs="Times New Roman"/>
          <w:bCs/>
          <w:kern w:val="0"/>
          <w:sz w:val="28"/>
          <w:szCs w:val="28"/>
        </w:rPr>
        <w:t>適用於國民小學各領域專長。</w:t>
      </w:r>
    </w:p>
    <w:p w:rsidR="003F259E" w:rsidRDefault="00F803B1">
      <w:pPr>
        <w:pStyle w:val="a3"/>
        <w:spacing w:line="460" w:lineRule="exact"/>
        <w:ind w:left="560" w:hanging="560"/>
        <w:jc w:val="both"/>
        <w:rPr>
          <w:sz w:val="28"/>
          <w:szCs w:val="28"/>
        </w:rPr>
      </w:pPr>
      <w:r>
        <w:rPr>
          <w:sz w:val="28"/>
          <w:szCs w:val="28"/>
        </w:rPr>
        <w:t>三、各師資培育之大學</w:t>
      </w:r>
      <w:r>
        <w:rPr>
          <w:sz w:val="28"/>
          <w:szCs w:val="28"/>
        </w:rPr>
        <w:t>(</w:t>
      </w:r>
      <w:r>
        <w:rPr>
          <w:sz w:val="28"/>
          <w:szCs w:val="28"/>
        </w:rPr>
        <w:t>以下簡稱各大學</w:t>
      </w:r>
      <w:r>
        <w:rPr>
          <w:sz w:val="28"/>
          <w:szCs w:val="28"/>
        </w:rPr>
        <w:t>)</w:t>
      </w:r>
      <w:r>
        <w:rPr>
          <w:sz w:val="28"/>
          <w:szCs w:val="28"/>
        </w:rPr>
        <w:t>擬訂國小加註專門課程，應依本部訂定之國民小學教師加註各領域專長專門課程架構表</w:t>
      </w:r>
      <w:r>
        <w:rPr>
          <w:sz w:val="28"/>
          <w:szCs w:val="28"/>
        </w:rPr>
        <w:t>(</w:t>
      </w:r>
      <w:r>
        <w:rPr>
          <w:sz w:val="28"/>
          <w:szCs w:val="28"/>
        </w:rPr>
        <w:t>如附表，以下簡稱本架構表</w:t>
      </w:r>
      <w:r>
        <w:rPr>
          <w:sz w:val="28"/>
          <w:szCs w:val="28"/>
        </w:rPr>
        <w:t>)</w:t>
      </w:r>
      <w:r>
        <w:rPr>
          <w:sz w:val="28"/>
          <w:szCs w:val="28"/>
        </w:rPr>
        <w:t>及本要點規劃辦理，並自訂科目名稱及其內容。</w:t>
      </w:r>
    </w:p>
    <w:p w:rsidR="003F259E" w:rsidRDefault="00F803B1">
      <w:pPr>
        <w:pStyle w:val="a3"/>
        <w:spacing w:line="460" w:lineRule="exact"/>
        <w:ind w:left="560" w:hanging="560"/>
        <w:jc w:val="both"/>
      </w:pPr>
      <w:r>
        <w:rPr>
          <w:sz w:val="28"/>
          <w:szCs w:val="28"/>
        </w:rPr>
        <w:t>四、</w:t>
      </w:r>
      <w:r>
        <w:rPr>
          <w:rFonts w:cs="Times New Roman"/>
          <w:bCs/>
          <w:kern w:val="0"/>
          <w:sz w:val="28"/>
          <w:szCs w:val="28"/>
        </w:rPr>
        <w:t>各大學擬訂國小加註專門課程，其名稱應與國民小學各領域專長名稱相符。</w:t>
      </w:r>
    </w:p>
    <w:p w:rsidR="003F259E" w:rsidRDefault="00F803B1">
      <w:pPr>
        <w:pStyle w:val="a3"/>
        <w:spacing w:line="460" w:lineRule="exact"/>
        <w:ind w:left="560" w:hanging="560"/>
        <w:jc w:val="both"/>
      </w:pPr>
      <w:r>
        <w:rPr>
          <w:rFonts w:cs="Times New Roman"/>
          <w:bCs/>
          <w:kern w:val="0"/>
          <w:sz w:val="28"/>
          <w:szCs w:val="28"/>
        </w:rPr>
        <w:t xml:space="preserve">        </w:t>
      </w:r>
      <w:r>
        <w:rPr>
          <w:rFonts w:cs="Times New Roman"/>
          <w:bCs/>
          <w:kern w:val="0"/>
          <w:sz w:val="28"/>
          <w:szCs w:val="28"/>
        </w:rPr>
        <w:t>國民小學教師加註各領域專長教師證書名稱應比對國民小學各領域專長名稱辦理。</w:t>
      </w:r>
    </w:p>
    <w:p w:rsidR="003F259E" w:rsidRDefault="00F803B1">
      <w:pPr>
        <w:pStyle w:val="a3"/>
        <w:spacing w:line="460" w:lineRule="exact"/>
        <w:ind w:left="560" w:hanging="560"/>
        <w:jc w:val="both"/>
      </w:pPr>
      <w:r>
        <w:rPr>
          <w:sz w:val="28"/>
          <w:szCs w:val="28"/>
        </w:rPr>
        <w:t>五、</w:t>
      </w:r>
      <w:r>
        <w:rPr>
          <w:rFonts w:cs="Times New Roman"/>
          <w:bCs/>
          <w:kern w:val="0"/>
          <w:sz w:val="28"/>
          <w:szCs w:val="28"/>
        </w:rPr>
        <w:t>各大學擬訂國小加註專門課程之原則如下：</w:t>
      </w:r>
    </w:p>
    <w:p w:rsidR="003F259E" w:rsidRDefault="00F803B1">
      <w:pPr>
        <w:pStyle w:val="a4"/>
        <w:spacing w:line="460" w:lineRule="exact"/>
        <w:ind w:left="800" w:hanging="560"/>
        <w:jc w:val="both"/>
      </w:pPr>
      <w:r>
        <w:rPr>
          <w:sz w:val="28"/>
          <w:szCs w:val="28"/>
        </w:rPr>
        <w:t>(</w:t>
      </w:r>
      <w:r>
        <w:rPr>
          <w:sz w:val="28"/>
          <w:szCs w:val="28"/>
        </w:rPr>
        <w:t>一</w:t>
      </w:r>
      <w:r>
        <w:rPr>
          <w:sz w:val="28"/>
          <w:szCs w:val="28"/>
        </w:rPr>
        <w:t>)</w:t>
      </w:r>
      <w:r>
        <w:rPr>
          <w:rFonts w:cs="Times New Roman"/>
          <w:bCs/>
          <w:kern w:val="0"/>
          <w:sz w:val="28"/>
          <w:szCs w:val="28"/>
        </w:rPr>
        <w:t>應為本部核定培育國民小學師資類科，並為本架構表所列適合規劃之相關學系、研究所</w:t>
      </w:r>
      <w:r>
        <w:rPr>
          <w:rFonts w:cs="Times New Roman"/>
          <w:bCs/>
          <w:kern w:val="0"/>
          <w:sz w:val="28"/>
          <w:szCs w:val="28"/>
        </w:rPr>
        <w:t>(</w:t>
      </w:r>
      <w:r>
        <w:rPr>
          <w:rFonts w:cs="Times New Roman"/>
          <w:bCs/>
          <w:kern w:val="0"/>
          <w:sz w:val="28"/>
          <w:szCs w:val="28"/>
        </w:rPr>
        <w:t>以下簡稱規劃系所</w:t>
      </w:r>
      <w:r>
        <w:rPr>
          <w:rFonts w:cs="Times New Roman"/>
          <w:bCs/>
          <w:kern w:val="0"/>
          <w:sz w:val="28"/>
          <w:szCs w:val="28"/>
        </w:rPr>
        <w:t>)</w:t>
      </w:r>
      <w:r>
        <w:rPr>
          <w:rFonts w:cs="Times New Roman"/>
          <w:bCs/>
          <w:kern w:val="0"/>
          <w:sz w:val="28"/>
          <w:szCs w:val="28"/>
        </w:rPr>
        <w:t>。</w:t>
      </w:r>
    </w:p>
    <w:p w:rsidR="003F259E" w:rsidRDefault="00F803B1">
      <w:pPr>
        <w:pStyle w:val="a4"/>
        <w:spacing w:line="460" w:lineRule="exact"/>
        <w:ind w:left="800" w:hanging="560"/>
        <w:jc w:val="both"/>
      </w:pPr>
      <w:r>
        <w:rPr>
          <w:sz w:val="28"/>
          <w:szCs w:val="28"/>
        </w:rPr>
        <w:t>(</w:t>
      </w:r>
      <w:r>
        <w:rPr>
          <w:sz w:val="28"/>
          <w:szCs w:val="28"/>
        </w:rPr>
        <w:t>二</w:t>
      </w:r>
      <w:r>
        <w:rPr>
          <w:sz w:val="28"/>
          <w:szCs w:val="28"/>
        </w:rPr>
        <w:t>)</w:t>
      </w:r>
      <w:r>
        <w:rPr>
          <w:rFonts w:cs="Times New Roman"/>
          <w:bCs/>
          <w:kern w:val="0"/>
          <w:sz w:val="28"/>
          <w:szCs w:val="28"/>
        </w:rPr>
        <w:t>應了解現</w:t>
      </w:r>
      <w:r>
        <w:rPr>
          <w:rFonts w:cs="Times New Roman"/>
          <w:bCs/>
          <w:kern w:val="0"/>
          <w:sz w:val="28"/>
          <w:szCs w:val="28"/>
        </w:rPr>
        <w:t>行國民小學課程綱要之各領域核心素養，開設之專門課程應具備適切之廣度及深度。</w:t>
      </w:r>
    </w:p>
    <w:p w:rsidR="003F259E" w:rsidRDefault="00F803B1">
      <w:pPr>
        <w:pStyle w:val="a4"/>
        <w:spacing w:line="460" w:lineRule="exact"/>
        <w:ind w:left="800" w:hanging="560"/>
        <w:jc w:val="both"/>
      </w:pPr>
      <w:r>
        <w:rPr>
          <w:sz w:val="28"/>
          <w:szCs w:val="28"/>
        </w:rPr>
        <w:t>(</w:t>
      </w:r>
      <w:r>
        <w:rPr>
          <w:sz w:val="28"/>
          <w:szCs w:val="28"/>
        </w:rPr>
        <w:t>三</w:t>
      </w:r>
      <w:r>
        <w:rPr>
          <w:sz w:val="28"/>
          <w:szCs w:val="28"/>
        </w:rPr>
        <w:t>)</w:t>
      </w:r>
      <w:r>
        <w:rPr>
          <w:rFonts w:cs="Times New Roman"/>
          <w:bCs/>
          <w:kern w:val="0"/>
          <w:sz w:val="28"/>
          <w:szCs w:val="28"/>
        </w:rPr>
        <w:t>專門課程之學分數分為規劃總學分數及要求最低應修畢總學分數二種：規劃總學分數，指各大學規劃供學生修習之總學分數；要求最低應修畢總學分數，指學生應修畢之最低學分數。</w:t>
      </w:r>
    </w:p>
    <w:p w:rsidR="003F259E" w:rsidRDefault="00F803B1">
      <w:pPr>
        <w:pStyle w:val="a4"/>
        <w:spacing w:line="460" w:lineRule="exact"/>
        <w:ind w:left="800" w:hanging="560"/>
        <w:jc w:val="both"/>
      </w:pPr>
      <w:r>
        <w:rPr>
          <w:sz w:val="28"/>
          <w:szCs w:val="28"/>
        </w:rPr>
        <w:t>(</w:t>
      </w:r>
      <w:r>
        <w:rPr>
          <w:sz w:val="28"/>
          <w:szCs w:val="28"/>
        </w:rPr>
        <w:t>四</w:t>
      </w:r>
      <w:r>
        <w:rPr>
          <w:sz w:val="28"/>
          <w:szCs w:val="28"/>
        </w:rPr>
        <w:t>)</w:t>
      </w:r>
      <w:r>
        <w:rPr>
          <w:rFonts w:cs="Times New Roman"/>
          <w:bCs/>
          <w:kern w:val="0"/>
          <w:sz w:val="28"/>
          <w:szCs w:val="28"/>
        </w:rPr>
        <w:t>規劃總學分數以二十四學分至五十學分為原則。</w:t>
      </w:r>
    </w:p>
    <w:p w:rsidR="003F259E" w:rsidRDefault="00F803B1">
      <w:pPr>
        <w:pStyle w:val="a4"/>
        <w:spacing w:line="460" w:lineRule="exact"/>
        <w:ind w:left="800" w:hanging="560"/>
        <w:jc w:val="both"/>
      </w:pPr>
      <w:r>
        <w:rPr>
          <w:sz w:val="28"/>
          <w:szCs w:val="28"/>
        </w:rPr>
        <w:t>(</w:t>
      </w:r>
      <w:r>
        <w:rPr>
          <w:sz w:val="28"/>
          <w:szCs w:val="28"/>
        </w:rPr>
        <w:t>五</w:t>
      </w:r>
      <w:r>
        <w:rPr>
          <w:sz w:val="28"/>
          <w:szCs w:val="28"/>
        </w:rPr>
        <w:t>)</w:t>
      </w:r>
      <w:r>
        <w:rPr>
          <w:rFonts w:cs="Times New Roman"/>
          <w:bCs/>
          <w:kern w:val="0"/>
          <w:sz w:val="28"/>
          <w:szCs w:val="28"/>
        </w:rPr>
        <w:t>專門課程應配合國民小學各領域課程內容規劃。</w:t>
      </w:r>
    </w:p>
    <w:p w:rsidR="003F259E" w:rsidRDefault="00F803B1">
      <w:pPr>
        <w:pStyle w:val="a3"/>
        <w:spacing w:line="460" w:lineRule="exact"/>
        <w:ind w:left="560" w:hanging="560"/>
        <w:jc w:val="both"/>
      </w:pPr>
      <w:r>
        <w:rPr>
          <w:sz w:val="28"/>
          <w:szCs w:val="28"/>
        </w:rPr>
        <w:t>六、</w:t>
      </w:r>
      <w:r>
        <w:rPr>
          <w:rFonts w:cs="Times New Roman"/>
          <w:bCs/>
          <w:kern w:val="0"/>
          <w:sz w:val="28"/>
          <w:szCs w:val="28"/>
        </w:rPr>
        <w:t>專門課程科目與教育專業課程科目、共同課程及通識課程，不得重複採認學分。</w:t>
      </w:r>
    </w:p>
    <w:p w:rsidR="003F259E" w:rsidRDefault="00F803B1">
      <w:pPr>
        <w:pStyle w:val="a3"/>
        <w:spacing w:line="460" w:lineRule="exact"/>
        <w:ind w:left="560" w:hanging="560"/>
        <w:jc w:val="both"/>
      </w:pPr>
      <w:r>
        <w:rPr>
          <w:sz w:val="28"/>
          <w:szCs w:val="28"/>
        </w:rPr>
        <w:t>七、</w:t>
      </w:r>
      <w:r>
        <w:rPr>
          <w:rFonts w:cs="Times New Roman"/>
          <w:bCs/>
          <w:kern w:val="0"/>
          <w:sz w:val="28"/>
          <w:szCs w:val="28"/>
        </w:rPr>
        <w:t>國小加註專門課程之採認及抵免，應符合下列規定：</w:t>
      </w:r>
    </w:p>
    <w:p w:rsidR="003F259E" w:rsidRDefault="00F803B1">
      <w:pPr>
        <w:pStyle w:val="a4"/>
        <w:spacing w:line="460" w:lineRule="exact"/>
        <w:ind w:left="800" w:hanging="560"/>
        <w:jc w:val="both"/>
      </w:pPr>
      <w:r>
        <w:rPr>
          <w:sz w:val="28"/>
          <w:szCs w:val="28"/>
        </w:rPr>
        <w:t>(</w:t>
      </w:r>
      <w:r>
        <w:rPr>
          <w:sz w:val="28"/>
          <w:szCs w:val="28"/>
        </w:rPr>
        <w:t>一</w:t>
      </w:r>
      <w:r>
        <w:rPr>
          <w:sz w:val="28"/>
          <w:szCs w:val="28"/>
        </w:rPr>
        <w:t>)</w:t>
      </w:r>
      <w:r>
        <w:rPr>
          <w:rFonts w:cs="Times New Roman"/>
          <w:bCs/>
          <w:kern w:val="0"/>
          <w:sz w:val="28"/>
          <w:szCs w:val="28"/>
        </w:rPr>
        <w:t>「修習國民小學教師加註各領域專長專</w:t>
      </w:r>
      <w:r>
        <w:rPr>
          <w:rFonts w:cs="Times New Roman"/>
          <w:bCs/>
          <w:kern w:val="0"/>
          <w:sz w:val="28"/>
          <w:szCs w:val="28"/>
        </w:rPr>
        <w:t>門課程科目及學分成績單」應由各大學相關學系所開具。</w:t>
      </w:r>
    </w:p>
    <w:p w:rsidR="003F259E" w:rsidRDefault="00F803B1">
      <w:pPr>
        <w:pStyle w:val="a4"/>
        <w:spacing w:line="460" w:lineRule="exact"/>
        <w:ind w:left="800" w:hanging="560"/>
        <w:jc w:val="both"/>
      </w:pPr>
      <w:r>
        <w:rPr>
          <w:sz w:val="28"/>
          <w:szCs w:val="28"/>
        </w:rPr>
        <w:lastRenderedPageBreak/>
        <w:t>(</w:t>
      </w:r>
      <w:r>
        <w:rPr>
          <w:sz w:val="28"/>
          <w:szCs w:val="28"/>
        </w:rPr>
        <w:t>二</w:t>
      </w:r>
      <w:r>
        <w:rPr>
          <w:sz w:val="28"/>
          <w:szCs w:val="28"/>
        </w:rPr>
        <w:t>)</w:t>
      </w:r>
      <w:r>
        <w:rPr>
          <w:rFonts w:cs="Times New Roman"/>
          <w:bCs/>
          <w:kern w:val="0"/>
          <w:sz w:val="28"/>
          <w:szCs w:val="28"/>
        </w:rPr>
        <w:t>各大學採認已具教師證書者或師資生於他校修習國小加註專門課程科目及學分原則如下：</w:t>
      </w:r>
    </w:p>
    <w:p w:rsidR="003F259E" w:rsidRDefault="00F803B1">
      <w:pPr>
        <w:pStyle w:val="10"/>
        <w:spacing w:line="460" w:lineRule="exact"/>
        <w:ind w:left="760" w:hanging="280"/>
        <w:jc w:val="both"/>
      </w:pPr>
      <w:r>
        <w:rPr>
          <w:sz w:val="28"/>
          <w:szCs w:val="28"/>
        </w:rPr>
        <w:t>1.</w:t>
      </w:r>
      <w:r>
        <w:rPr>
          <w:rFonts w:cs="Times New Roman"/>
          <w:bCs/>
          <w:kern w:val="0"/>
          <w:sz w:val="28"/>
          <w:szCs w:val="28"/>
        </w:rPr>
        <w:t>本校已有經本部核定培育之類科，且開授相同領域專長教材教法課程。</w:t>
      </w:r>
    </w:p>
    <w:p w:rsidR="003F259E" w:rsidRDefault="00F803B1">
      <w:pPr>
        <w:pStyle w:val="10"/>
        <w:spacing w:line="460" w:lineRule="exact"/>
        <w:ind w:left="760" w:hanging="280"/>
        <w:jc w:val="both"/>
      </w:pPr>
      <w:r>
        <w:rPr>
          <w:sz w:val="28"/>
          <w:szCs w:val="28"/>
        </w:rPr>
        <w:t>2.</w:t>
      </w:r>
      <w:r>
        <w:rPr>
          <w:rFonts w:cs="Times New Roman"/>
          <w:bCs/>
          <w:kern w:val="0"/>
          <w:sz w:val="28"/>
          <w:szCs w:val="28"/>
        </w:rPr>
        <w:t>經查驗所提「修習國民小學教師加註各領域專長專門課程科目及學分成績證明」確為各大學相關學系所開具，且認定符合領域專長專門課程專業知能。</w:t>
      </w:r>
    </w:p>
    <w:p w:rsidR="003F259E" w:rsidRDefault="00F803B1">
      <w:pPr>
        <w:pStyle w:val="10"/>
        <w:spacing w:line="460" w:lineRule="exact"/>
        <w:ind w:left="760" w:hanging="280"/>
        <w:jc w:val="both"/>
      </w:pPr>
      <w:r>
        <w:rPr>
          <w:sz w:val="28"/>
          <w:szCs w:val="28"/>
        </w:rPr>
        <w:t>3.</w:t>
      </w:r>
      <w:r>
        <w:rPr>
          <w:rFonts w:cs="Times New Roman"/>
          <w:bCs/>
          <w:kern w:val="0"/>
          <w:sz w:val="28"/>
          <w:szCs w:val="28"/>
        </w:rPr>
        <w:t>專門課程之採認、抵免學分之期限及比率，依各校學則或校內抵免相關規定辦理。</w:t>
      </w:r>
    </w:p>
    <w:p w:rsidR="003F259E" w:rsidRDefault="00F803B1">
      <w:pPr>
        <w:pStyle w:val="10"/>
        <w:spacing w:line="460" w:lineRule="exact"/>
        <w:ind w:left="760" w:hanging="280"/>
        <w:jc w:val="both"/>
      </w:pPr>
      <w:r>
        <w:rPr>
          <w:sz w:val="28"/>
          <w:szCs w:val="28"/>
        </w:rPr>
        <w:t>4.</w:t>
      </w:r>
      <w:r>
        <w:rPr>
          <w:rFonts w:cs="Times New Roman"/>
          <w:bCs/>
          <w:kern w:val="0"/>
          <w:sz w:val="28"/>
          <w:szCs w:val="28"/>
        </w:rPr>
        <w:t>共同課程及通識課程不得採認為專門課程科目及學分。</w:t>
      </w:r>
    </w:p>
    <w:p w:rsidR="003F259E" w:rsidRDefault="00F803B1">
      <w:pPr>
        <w:pStyle w:val="10"/>
        <w:spacing w:line="460" w:lineRule="exact"/>
        <w:ind w:left="760" w:hanging="280"/>
        <w:jc w:val="both"/>
      </w:pPr>
      <w:r>
        <w:rPr>
          <w:sz w:val="28"/>
          <w:szCs w:val="28"/>
        </w:rPr>
        <w:t>5.</w:t>
      </w:r>
      <w:r>
        <w:rPr>
          <w:rFonts w:cs="Times New Roman"/>
          <w:bCs/>
          <w:kern w:val="0"/>
          <w:sz w:val="28"/>
          <w:szCs w:val="28"/>
        </w:rPr>
        <w:t>推廣教育學分以年度事前報本部核定開辦之教師在職進修學分班為限，始得採為國小加註專門課程科目及學分。</w:t>
      </w:r>
    </w:p>
    <w:p w:rsidR="003F259E" w:rsidRDefault="00F803B1">
      <w:pPr>
        <w:pStyle w:val="10"/>
        <w:spacing w:line="460" w:lineRule="exact"/>
        <w:ind w:left="760" w:hanging="280"/>
        <w:jc w:val="both"/>
      </w:pPr>
      <w:r>
        <w:rPr>
          <w:sz w:val="28"/>
          <w:szCs w:val="28"/>
        </w:rPr>
        <w:t>6.</w:t>
      </w:r>
      <w:r>
        <w:rPr>
          <w:rFonts w:cs="Times New Roman"/>
          <w:bCs/>
          <w:kern w:val="0"/>
          <w:sz w:val="28"/>
          <w:szCs w:val="28"/>
        </w:rPr>
        <w:t>各大學辦理課程採認及學分抵免後不足之科目及學分，得依各大學之規定，採隨班附讀或由各大學申請開設專班方式補修學分。</w:t>
      </w:r>
    </w:p>
    <w:p w:rsidR="003F259E" w:rsidRDefault="00F803B1">
      <w:pPr>
        <w:pStyle w:val="a3"/>
        <w:spacing w:line="460" w:lineRule="exact"/>
        <w:ind w:left="560" w:hanging="560"/>
        <w:jc w:val="both"/>
      </w:pPr>
      <w:r>
        <w:rPr>
          <w:rStyle w:val="ab"/>
          <w:sz w:val="28"/>
          <w:szCs w:val="28"/>
        </w:rPr>
        <w:t>八、</w:t>
      </w:r>
      <w:r>
        <w:rPr>
          <w:rFonts w:cs="Times New Roman"/>
          <w:bCs/>
          <w:kern w:val="0"/>
          <w:sz w:val="28"/>
          <w:szCs w:val="28"/>
        </w:rPr>
        <w:t>各大學新增國小加註專門課程或規劃系所，應經校級相關會議審查通過後，檢附課程規劃說明書一式五份</w:t>
      </w:r>
      <w:r>
        <w:rPr>
          <w:rFonts w:cs="Times New Roman"/>
          <w:bCs/>
          <w:kern w:val="0"/>
          <w:sz w:val="28"/>
          <w:szCs w:val="28"/>
        </w:rPr>
        <w:t>(</w:t>
      </w:r>
      <w:r>
        <w:rPr>
          <w:rFonts w:cs="Times New Roman"/>
          <w:bCs/>
          <w:kern w:val="0"/>
          <w:sz w:val="28"/>
          <w:szCs w:val="28"/>
        </w:rPr>
        <w:t>包括電子檔</w:t>
      </w:r>
      <w:r>
        <w:rPr>
          <w:rFonts w:cs="Times New Roman"/>
          <w:bCs/>
          <w:kern w:val="0"/>
          <w:sz w:val="28"/>
          <w:szCs w:val="28"/>
        </w:rPr>
        <w:t>)</w:t>
      </w:r>
      <w:r>
        <w:rPr>
          <w:rFonts w:cs="Times New Roman"/>
          <w:bCs/>
          <w:kern w:val="0"/>
          <w:sz w:val="28"/>
          <w:szCs w:val="28"/>
        </w:rPr>
        <w:t>報本部核定；其內容應包括下列項目：</w:t>
      </w:r>
    </w:p>
    <w:p w:rsidR="003F259E" w:rsidRDefault="00F803B1">
      <w:pPr>
        <w:pStyle w:val="a4"/>
        <w:spacing w:line="460" w:lineRule="exact"/>
        <w:ind w:left="800" w:hanging="560"/>
        <w:jc w:val="both"/>
      </w:pPr>
      <w:r>
        <w:rPr>
          <w:sz w:val="28"/>
          <w:szCs w:val="28"/>
        </w:rPr>
        <w:t>(</w:t>
      </w:r>
      <w:r>
        <w:rPr>
          <w:sz w:val="28"/>
          <w:szCs w:val="28"/>
        </w:rPr>
        <w:t>一</w:t>
      </w:r>
      <w:r>
        <w:rPr>
          <w:sz w:val="28"/>
          <w:szCs w:val="28"/>
        </w:rPr>
        <w:t>)</w:t>
      </w:r>
      <w:r>
        <w:rPr>
          <w:rFonts w:cs="Times New Roman"/>
          <w:bCs/>
          <w:kern w:val="0"/>
          <w:sz w:val="28"/>
          <w:szCs w:val="28"/>
        </w:rPr>
        <w:t>課程規劃概要：</w:t>
      </w:r>
    </w:p>
    <w:p w:rsidR="003F259E" w:rsidRDefault="00F803B1">
      <w:pPr>
        <w:pStyle w:val="10"/>
        <w:spacing w:line="460" w:lineRule="exact"/>
        <w:ind w:left="760" w:hanging="280"/>
        <w:jc w:val="both"/>
        <w:rPr>
          <w:sz w:val="28"/>
          <w:szCs w:val="28"/>
        </w:rPr>
      </w:pPr>
      <w:r>
        <w:rPr>
          <w:sz w:val="28"/>
          <w:szCs w:val="28"/>
        </w:rPr>
        <w:t>1.</w:t>
      </w:r>
      <w:r>
        <w:rPr>
          <w:sz w:val="28"/>
          <w:szCs w:val="28"/>
        </w:rPr>
        <w:t>培育課程名稱。</w:t>
      </w:r>
    </w:p>
    <w:p w:rsidR="003F259E" w:rsidRDefault="00F803B1">
      <w:pPr>
        <w:pStyle w:val="10"/>
        <w:spacing w:line="460" w:lineRule="exact"/>
        <w:ind w:left="760" w:hanging="280"/>
        <w:jc w:val="both"/>
        <w:rPr>
          <w:sz w:val="28"/>
          <w:szCs w:val="28"/>
        </w:rPr>
      </w:pPr>
      <w:r>
        <w:rPr>
          <w:sz w:val="28"/>
          <w:szCs w:val="28"/>
        </w:rPr>
        <w:t>2.</w:t>
      </w:r>
      <w:r>
        <w:rPr>
          <w:sz w:val="28"/>
          <w:szCs w:val="28"/>
        </w:rPr>
        <w:t>參加規劃人員</w:t>
      </w:r>
      <w:r>
        <w:rPr>
          <w:sz w:val="28"/>
          <w:szCs w:val="28"/>
        </w:rPr>
        <w:t>(</w:t>
      </w:r>
      <w:r>
        <w:rPr>
          <w:sz w:val="28"/>
          <w:szCs w:val="28"/>
        </w:rPr>
        <w:t>每一相關學系所師資至少二名</w:t>
      </w:r>
      <w:r>
        <w:rPr>
          <w:sz w:val="28"/>
          <w:szCs w:val="28"/>
        </w:rPr>
        <w:t>)</w:t>
      </w:r>
      <w:r>
        <w:rPr>
          <w:sz w:val="28"/>
          <w:szCs w:val="28"/>
        </w:rPr>
        <w:t>。</w:t>
      </w:r>
    </w:p>
    <w:p w:rsidR="003F259E" w:rsidRDefault="00F803B1">
      <w:pPr>
        <w:pStyle w:val="10"/>
        <w:spacing w:line="460" w:lineRule="exact"/>
        <w:ind w:left="760" w:hanging="280"/>
        <w:jc w:val="both"/>
        <w:rPr>
          <w:sz w:val="28"/>
          <w:szCs w:val="28"/>
        </w:rPr>
      </w:pPr>
      <w:r>
        <w:rPr>
          <w:sz w:val="28"/>
          <w:szCs w:val="28"/>
        </w:rPr>
        <w:t>3.</w:t>
      </w:r>
      <w:r>
        <w:rPr>
          <w:sz w:val="28"/>
          <w:szCs w:val="28"/>
        </w:rPr>
        <w:t>國民小學教師師資職前教育課程教育專業課程架構表。</w:t>
      </w:r>
    </w:p>
    <w:p w:rsidR="003F259E" w:rsidRDefault="00F803B1">
      <w:pPr>
        <w:pStyle w:val="10"/>
        <w:spacing w:line="460" w:lineRule="exact"/>
        <w:ind w:left="760" w:hanging="280"/>
        <w:jc w:val="both"/>
        <w:rPr>
          <w:sz w:val="28"/>
          <w:szCs w:val="28"/>
        </w:rPr>
      </w:pPr>
      <w:r>
        <w:rPr>
          <w:sz w:val="28"/>
          <w:szCs w:val="28"/>
        </w:rPr>
        <w:t>4.</w:t>
      </w:r>
      <w:r>
        <w:rPr>
          <w:sz w:val="28"/>
          <w:szCs w:val="28"/>
        </w:rPr>
        <w:t>負責規劃之相關學系所</w:t>
      </w:r>
      <w:r>
        <w:rPr>
          <w:sz w:val="28"/>
          <w:szCs w:val="28"/>
        </w:rPr>
        <w:t>(</w:t>
      </w:r>
      <w:r>
        <w:rPr>
          <w:sz w:val="28"/>
          <w:szCs w:val="28"/>
        </w:rPr>
        <w:t>包括主要規劃學系所、開課相關學系所等</w:t>
      </w:r>
      <w:r>
        <w:rPr>
          <w:sz w:val="28"/>
          <w:szCs w:val="28"/>
        </w:rPr>
        <w:t>)</w:t>
      </w:r>
      <w:r>
        <w:rPr>
          <w:sz w:val="28"/>
          <w:szCs w:val="28"/>
        </w:rPr>
        <w:t>。</w:t>
      </w:r>
    </w:p>
    <w:p w:rsidR="003F259E" w:rsidRDefault="00F803B1">
      <w:pPr>
        <w:pStyle w:val="10"/>
        <w:spacing w:line="460" w:lineRule="exact"/>
        <w:ind w:left="760" w:hanging="280"/>
        <w:jc w:val="both"/>
        <w:rPr>
          <w:sz w:val="28"/>
          <w:szCs w:val="28"/>
        </w:rPr>
      </w:pPr>
      <w:r>
        <w:rPr>
          <w:sz w:val="28"/>
          <w:szCs w:val="28"/>
        </w:rPr>
        <w:t>5.</w:t>
      </w:r>
      <w:r>
        <w:rPr>
          <w:sz w:val="28"/>
          <w:szCs w:val="28"/>
        </w:rPr>
        <w:t>相關學系所現行之必</w:t>
      </w:r>
      <w:r>
        <w:rPr>
          <w:sz w:val="28"/>
          <w:szCs w:val="28"/>
        </w:rPr>
        <w:t>(</w:t>
      </w:r>
      <w:r>
        <w:rPr>
          <w:sz w:val="28"/>
          <w:szCs w:val="28"/>
        </w:rPr>
        <w:t>選</w:t>
      </w:r>
      <w:r>
        <w:rPr>
          <w:sz w:val="28"/>
          <w:szCs w:val="28"/>
        </w:rPr>
        <w:t>)</w:t>
      </w:r>
      <w:r>
        <w:rPr>
          <w:sz w:val="28"/>
          <w:szCs w:val="28"/>
        </w:rPr>
        <w:t>修科目表。</w:t>
      </w:r>
    </w:p>
    <w:p w:rsidR="003F259E" w:rsidRDefault="00F803B1">
      <w:pPr>
        <w:pStyle w:val="10"/>
        <w:spacing w:line="460" w:lineRule="exact"/>
        <w:ind w:left="760" w:hanging="280"/>
        <w:jc w:val="both"/>
        <w:rPr>
          <w:sz w:val="28"/>
          <w:szCs w:val="28"/>
        </w:rPr>
      </w:pPr>
      <w:r>
        <w:rPr>
          <w:sz w:val="28"/>
          <w:szCs w:val="28"/>
        </w:rPr>
        <w:t>6.</w:t>
      </w:r>
      <w:r>
        <w:rPr>
          <w:sz w:val="28"/>
          <w:szCs w:val="28"/>
        </w:rPr>
        <w:t>學校內部審查程序說明。</w:t>
      </w:r>
    </w:p>
    <w:p w:rsidR="003F259E" w:rsidRDefault="00F803B1">
      <w:pPr>
        <w:pStyle w:val="10"/>
        <w:spacing w:line="460" w:lineRule="exact"/>
        <w:ind w:left="760" w:hanging="280"/>
        <w:jc w:val="both"/>
        <w:rPr>
          <w:sz w:val="28"/>
          <w:szCs w:val="28"/>
        </w:rPr>
      </w:pPr>
      <w:r>
        <w:rPr>
          <w:sz w:val="28"/>
          <w:szCs w:val="28"/>
        </w:rPr>
        <w:t>7.</w:t>
      </w:r>
      <w:r>
        <w:rPr>
          <w:sz w:val="28"/>
          <w:szCs w:val="28"/>
        </w:rPr>
        <w:t>各國小加註專門課程架構表，包括師資生最低應修畢及學校規劃之總學分數、各課程類別最低學分數、科目名稱及課程綱要、開設科目與課程對應本部所定專門課程架構表之課程類別及其最低學分數及相關文件資料。</w:t>
      </w:r>
    </w:p>
    <w:p w:rsidR="003F259E" w:rsidRDefault="00F803B1">
      <w:pPr>
        <w:pStyle w:val="10"/>
        <w:spacing w:line="460" w:lineRule="exact"/>
        <w:ind w:left="760" w:hanging="280"/>
        <w:jc w:val="both"/>
        <w:rPr>
          <w:sz w:val="28"/>
          <w:szCs w:val="28"/>
        </w:rPr>
      </w:pPr>
      <w:r>
        <w:rPr>
          <w:sz w:val="28"/>
          <w:szCs w:val="28"/>
        </w:rPr>
        <w:t>8.</w:t>
      </w:r>
      <w:r>
        <w:rPr>
          <w:sz w:val="28"/>
          <w:szCs w:val="28"/>
        </w:rPr>
        <w:t>其他說明事項。</w:t>
      </w:r>
    </w:p>
    <w:p w:rsidR="003F259E" w:rsidRDefault="00F803B1">
      <w:pPr>
        <w:pStyle w:val="a4"/>
        <w:spacing w:line="460" w:lineRule="exact"/>
        <w:ind w:left="800" w:hanging="560"/>
        <w:jc w:val="both"/>
      </w:pPr>
      <w:r>
        <w:rPr>
          <w:sz w:val="28"/>
          <w:szCs w:val="28"/>
        </w:rPr>
        <w:t>(</w:t>
      </w:r>
      <w:r>
        <w:rPr>
          <w:sz w:val="28"/>
          <w:szCs w:val="28"/>
        </w:rPr>
        <w:t>二</w:t>
      </w:r>
      <w:r>
        <w:rPr>
          <w:sz w:val="28"/>
          <w:szCs w:val="28"/>
        </w:rPr>
        <w:t>)</w:t>
      </w:r>
      <w:r>
        <w:rPr>
          <w:rFonts w:cs="Times New Roman"/>
          <w:bCs/>
          <w:kern w:val="0"/>
          <w:sz w:val="28"/>
          <w:szCs w:val="28"/>
        </w:rPr>
        <w:t>各大學擬訂之專門課程科目及學分相關規定，應符合師資培育法、各</w:t>
      </w:r>
      <w:r>
        <w:rPr>
          <w:rFonts w:cs="Times New Roman"/>
          <w:bCs/>
          <w:kern w:val="0"/>
          <w:sz w:val="28"/>
          <w:szCs w:val="28"/>
        </w:rPr>
        <w:lastRenderedPageBreak/>
        <w:t>學校學則相關規定及各大學審核與採認國民小學教師加註各領域專長專門課程科目及學分數作業規定，並包</w:t>
      </w:r>
      <w:r>
        <w:rPr>
          <w:rFonts w:cs="Times New Roman"/>
          <w:bCs/>
          <w:kern w:val="0"/>
          <w:sz w:val="28"/>
          <w:szCs w:val="28"/>
        </w:rPr>
        <w:t>括規定適用對象、適用時間及學校、學生、教師應注意事項、全校共同事項統一規定及其他相關事項，並得附註於各國小加註專門課程架構表後。</w:t>
      </w:r>
    </w:p>
    <w:p w:rsidR="003F259E" w:rsidRDefault="00F803B1">
      <w:pPr>
        <w:pStyle w:val="a4"/>
        <w:spacing w:line="460" w:lineRule="exact"/>
        <w:ind w:left="800" w:hanging="560"/>
        <w:jc w:val="both"/>
        <w:rPr>
          <w:sz w:val="28"/>
          <w:szCs w:val="28"/>
        </w:rPr>
      </w:pPr>
      <w:r>
        <w:rPr>
          <w:sz w:val="28"/>
          <w:szCs w:val="28"/>
        </w:rPr>
        <w:t>(</w:t>
      </w:r>
      <w:r>
        <w:rPr>
          <w:sz w:val="28"/>
          <w:szCs w:val="28"/>
        </w:rPr>
        <w:t>三</w:t>
      </w:r>
      <w:r>
        <w:rPr>
          <w:sz w:val="28"/>
          <w:szCs w:val="28"/>
        </w:rPr>
        <w:t>)</w:t>
      </w:r>
      <w:r>
        <w:rPr>
          <w:sz w:val="28"/>
          <w:szCs w:val="28"/>
        </w:rPr>
        <w:t>自主檢核表。</w:t>
      </w:r>
    </w:p>
    <w:p w:rsidR="003F259E" w:rsidRDefault="00F803B1">
      <w:pPr>
        <w:pStyle w:val="a4"/>
        <w:spacing w:line="460" w:lineRule="exact"/>
        <w:ind w:left="540" w:firstLine="0"/>
        <w:jc w:val="both"/>
        <w:rPr>
          <w:sz w:val="28"/>
          <w:szCs w:val="28"/>
        </w:rPr>
      </w:pPr>
      <w:r>
        <w:rPr>
          <w:sz w:val="28"/>
          <w:szCs w:val="28"/>
        </w:rPr>
        <w:t xml:space="preserve">    </w:t>
      </w:r>
      <w:r>
        <w:rPr>
          <w:sz w:val="28"/>
          <w:szCs w:val="28"/>
        </w:rPr>
        <w:t>各大學申請調整規劃系所（包括減列及更名）者，應提報變更說明或對照表、變更佐證資料及相關會議審查通過資料，經本部核定後實施。</w:t>
      </w:r>
    </w:p>
    <w:p w:rsidR="003F259E" w:rsidRDefault="00F803B1">
      <w:pPr>
        <w:pStyle w:val="a4"/>
        <w:spacing w:line="460" w:lineRule="exact"/>
        <w:ind w:left="540" w:firstLine="0"/>
        <w:jc w:val="both"/>
        <w:rPr>
          <w:sz w:val="28"/>
          <w:szCs w:val="28"/>
        </w:rPr>
      </w:pPr>
      <w:r>
        <w:rPr>
          <w:sz w:val="28"/>
          <w:szCs w:val="28"/>
        </w:rPr>
        <w:t xml:space="preserve">    </w:t>
      </w:r>
      <w:r>
        <w:rPr>
          <w:sz w:val="28"/>
          <w:szCs w:val="28"/>
        </w:rPr>
        <w:t>各大學修正國小加註專門課程，應經校級相關會議審查通過後，檢附下列資料報本部備查：</w:t>
      </w:r>
    </w:p>
    <w:p w:rsidR="003F259E" w:rsidRDefault="00F803B1">
      <w:pPr>
        <w:pStyle w:val="a4"/>
        <w:numPr>
          <w:ilvl w:val="0"/>
          <w:numId w:val="1"/>
        </w:numPr>
        <w:spacing w:line="460" w:lineRule="exact"/>
        <w:ind w:left="800" w:hanging="560"/>
        <w:jc w:val="both"/>
        <w:rPr>
          <w:sz w:val="28"/>
          <w:szCs w:val="28"/>
        </w:rPr>
      </w:pPr>
      <w:r>
        <w:rPr>
          <w:sz w:val="28"/>
          <w:szCs w:val="28"/>
        </w:rPr>
        <w:t>培育課程名稱。</w:t>
      </w:r>
    </w:p>
    <w:p w:rsidR="003F259E" w:rsidRDefault="00F803B1">
      <w:pPr>
        <w:pStyle w:val="a4"/>
        <w:numPr>
          <w:ilvl w:val="0"/>
          <w:numId w:val="1"/>
        </w:numPr>
        <w:spacing w:line="460" w:lineRule="exact"/>
        <w:ind w:left="800" w:hanging="560"/>
        <w:jc w:val="both"/>
        <w:rPr>
          <w:sz w:val="28"/>
          <w:szCs w:val="28"/>
        </w:rPr>
      </w:pPr>
      <w:r>
        <w:rPr>
          <w:sz w:val="28"/>
          <w:szCs w:val="28"/>
        </w:rPr>
        <w:t>國民小學教師師資職前教育課程教育專業課程架構表。</w:t>
      </w:r>
    </w:p>
    <w:p w:rsidR="003F259E" w:rsidRDefault="00F803B1">
      <w:pPr>
        <w:pStyle w:val="a4"/>
        <w:numPr>
          <w:ilvl w:val="0"/>
          <w:numId w:val="1"/>
        </w:numPr>
        <w:spacing w:line="460" w:lineRule="exact"/>
        <w:ind w:left="800" w:hanging="560"/>
        <w:jc w:val="both"/>
        <w:rPr>
          <w:sz w:val="28"/>
          <w:szCs w:val="28"/>
        </w:rPr>
      </w:pPr>
      <w:r>
        <w:rPr>
          <w:sz w:val="28"/>
          <w:szCs w:val="28"/>
        </w:rPr>
        <w:t>負責規劃之相關學系所</w:t>
      </w:r>
      <w:r>
        <w:rPr>
          <w:sz w:val="28"/>
          <w:szCs w:val="28"/>
        </w:rPr>
        <w:t>(</w:t>
      </w:r>
      <w:r>
        <w:rPr>
          <w:sz w:val="28"/>
          <w:szCs w:val="28"/>
        </w:rPr>
        <w:t>包括主要規劃學系所、開課相關學系所等</w:t>
      </w:r>
      <w:r>
        <w:rPr>
          <w:sz w:val="28"/>
          <w:szCs w:val="28"/>
        </w:rPr>
        <w:t>)</w:t>
      </w:r>
      <w:r>
        <w:rPr>
          <w:sz w:val="28"/>
          <w:szCs w:val="28"/>
        </w:rPr>
        <w:t>。</w:t>
      </w:r>
    </w:p>
    <w:p w:rsidR="003F259E" w:rsidRDefault="00F803B1">
      <w:pPr>
        <w:pStyle w:val="a4"/>
        <w:numPr>
          <w:ilvl w:val="0"/>
          <w:numId w:val="1"/>
        </w:numPr>
        <w:spacing w:line="460" w:lineRule="exact"/>
        <w:ind w:left="800" w:hanging="560"/>
        <w:jc w:val="both"/>
        <w:rPr>
          <w:sz w:val="28"/>
          <w:szCs w:val="28"/>
        </w:rPr>
      </w:pPr>
      <w:r>
        <w:rPr>
          <w:sz w:val="28"/>
          <w:szCs w:val="28"/>
        </w:rPr>
        <w:t>學校內部審查程序說明。</w:t>
      </w:r>
    </w:p>
    <w:p w:rsidR="003F259E" w:rsidRDefault="00F803B1">
      <w:pPr>
        <w:pStyle w:val="a4"/>
        <w:numPr>
          <w:ilvl w:val="0"/>
          <w:numId w:val="1"/>
        </w:numPr>
        <w:spacing w:line="460" w:lineRule="exact"/>
        <w:ind w:left="800" w:hanging="560"/>
        <w:jc w:val="both"/>
        <w:rPr>
          <w:sz w:val="28"/>
          <w:szCs w:val="28"/>
        </w:rPr>
      </w:pPr>
      <w:r>
        <w:rPr>
          <w:sz w:val="28"/>
          <w:szCs w:val="28"/>
        </w:rPr>
        <w:t>各國小加註專門課程架構表，包括師資生最低應修畢及學校規劃之總學分數、各課程類別最低學分數、科目名稱及課程綱要、開設科目與課程對應本部所定專門課程架構表之課程類別及其最低學分數及相關文件資料。</w:t>
      </w:r>
    </w:p>
    <w:p w:rsidR="003F259E" w:rsidRDefault="00F803B1">
      <w:pPr>
        <w:pStyle w:val="a4"/>
        <w:numPr>
          <w:ilvl w:val="0"/>
          <w:numId w:val="1"/>
        </w:numPr>
        <w:spacing w:line="460" w:lineRule="exact"/>
        <w:ind w:left="800" w:hanging="560"/>
        <w:jc w:val="both"/>
        <w:rPr>
          <w:sz w:val="28"/>
          <w:szCs w:val="28"/>
        </w:rPr>
      </w:pPr>
      <w:r>
        <w:rPr>
          <w:sz w:val="28"/>
          <w:szCs w:val="28"/>
        </w:rPr>
        <w:t>其他說明事項。</w:t>
      </w:r>
    </w:p>
    <w:p w:rsidR="003F259E" w:rsidRDefault="00F803B1">
      <w:pPr>
        <w:pStyle w:val="a4"/>
        <w:numPr>
          <w:ilvl w:val="0"/>
          <w:numId w:val="1"/>
        </w:numPr>
        <w:spacing w:line="460" w:lineRule="exact"/>
        <w:ind w:left="800" w:hanging="560"/>
        <w:jc w:val="both"/>
        <w:rPr>
          <w:sz w:val="28"/>
          <w:szCs w:val="28"/>
        </w:rPr>
      </w:pPr>
      <w:r>
        <w:rPr>
          <w:sz w:val="28"/>
          <w:szCs w:val="28"/>
        </w:rPr>
        <w:t>自主檢核表。</w:t>
      </w:r>
    </w:p>
    <w:p w:rsidR="003F259E" w:rsidRDefault="00F803B1">
      <w:pPr>
        <w:pStyle w:val="a4"/>
        <w:spacing w:line="460" w:lineRule="exact"/>
        <w:ind w:left="540" w:firstLine="0"/>
        <w:jc w:val="both"/>
      </w:pPr>
      <w:r>
        <w:rPr>
          <w:rFonts w:cs="Times New Roman"/>
          <w:bCs/>
          <w:kern w:val="0"/>
          <w:sz w:val="28"/>
          <w:szCs w:val="28"/>
        </w:rPr>
        <w:t xml:space="preserve">    </w:t>
      </w:r>
      <w:r>
        <w:rPr>
          <w:rFonts w:cs="Times New Roman"/>
          <w:bCs/>
          <w:kern w:val="0"/>
          <w:sz w:val="28"/>
          <w:szCs w:val="28"/>
        </w:rPr>
        <w:t>各大學應將國小加註專門課程上傳至師資職前課程管理平臺；課程修正時，亦同。</w:t>
      </w:r>
    </w:p>
    <w:p w:rsidR="003F259E" w:rsidRDefault="00F803B1">
      <w:pPr>
        <w:pStyle w:val="a3"/>
        <w:spacing w:line="460" w:lineRule="exact"/>
        <w:ind w:left="560" w:hanging="560"/>
        <w:jc w:val="both"/>
        <w:rPr>
          <w:sz w:val="28"/>
          <w:szCs w:val="28"/>
        </w:rPr>
      </w:pPr>
      <w:r>
        <w:rPr>
          <w:sz w:val="28"/>
          <w:szCs w:val="28"/>
        </w:rPr>
        <w:t>九、本部審查前點第一項之案件，應於通過本部行政審查後，送專家審查；其評分及通過課程基準如下：</w:t>
      </w:r>
    </w:p>
    <w:p w:rsidR="003F259E" w:rsidRDefault="00F803B1">
      <w:pPr>
        <w:pStyle w:val="a3"/>
        <w:spacing w:line="460" w:lineRule="exact"/>
        <w:ind w:left="800" w:hanging="560"/>
        <w:jc w:val="both"/>
        <w:rPr>
          <w:sz w:val="28"/>
          <w:szCs w:val="28"/>
        </w:rPr>
      </w:pPr>
      <w:r>
        <w:rPr>
          <w:sz w:val="28"/>
          <w:szCs w:val="28"/>
        </w:rPr>
        <w:t>(</w:t>
      </w:r>
      <w:r>
        <w:rPr>
          <w:sz w:val="28"/>
          <w:szCs w:val="28"/>
        </w:rPr>
        <w:t>一</w:t>
      </w:r>
      <w:r>
        <w:rPr>
          <w:sz w:val="28"/>
          <w:szCs w:val="28"/>
        </w:rPr>
        <w:t>)</w:t>
      </w:r>
      <w:r>
        <w:rPr>
          <w:sz w:val="28"/>
          <w:szCs w:val="28"/>
        </w:rPr>
        <w:t>專家審查評分：分為極力推薦、推薦、勉予推薦及不推薦等四級。</w:t>
      </w:r>
    </w:p>
    <w:p w:rsidR="003F259E" w:rsidRDefault="00F803B1">
      <w:pPr>
        <w:pStyle w:val="a3"/>
        <w:spacing w:line="460" w:lineRule="exact"/>
        <w:ind w:left="800" w:hanging="560"/>
        <w:jc w:val="both"/>
        <w:rPr>
          <w:sz w:val="28"/>
          <w:szCs w:val="28"/>
        </w:rPr>
      </w:pPr>
      <w:r>
        <w:rPr>
          <w:sz w:val="28"/>
          <w:szCs w:val="28"/>
        </w:rPr>
        <w:t>(</w:t>
      </w:r>
      <w:r>
        <w:rPr>
          <w:sz w:val="28"/>
          <w:szCs w:val="28"/>
        </w:rPr>
        <w:t>二</w:t>
      </w:r>
      <w:r>
        <w:rPr>
          <w:sz w:val="28"/>
          <w:szCs w:val="28"/>
        </w:rPr>
        <w:t>)</w:t>
      </w:r>
      <w:r>
        <w:rPr>
          <w:sz w:val="28"/>
          <w:szCs w:val="28"/>
        </w:rPr>
        <w:t>由本部送請專家三人</w:t>
      </w:r>
      <w:r>
        <w:rPr>
          <w:sz w:val="28"/>
          <w:szCs w:val="28"/>
        </w:rPr>
        <w:t>審查，須有二位以上專家極力推薦或推薦，始為通過。</w:t>
      </w:r>
    </w:p>
    <w:p w:rsidR="003F259E" w:rsidRDefault="00F803B1">
      <w:pPr>
        <w:pStyle w:val="a3"/>
        <w:spacing w:line="460" w:lineRule="exact"/>
        <w:ind w:left="560" w:hanging="560"/>
        <w:jc w:val="both"/>
        <w:rPr>
          <w:sz w:val="28"/>
          <w:szCs w:val="28"/>
        </w:rPr>
      </w:pPr>
      <w:r>
        <w:rPr>
          <w:sz w:val="28"/>
          <w:szCs w:val="28"/>
        </w:rPr>
        <w:t>十、國小加註專門課程架構表經本部核定或備查，各大學應於該表註明本部核定或備查日期及文號後，分送相關單位，並公告於學校網站。</w:t>
      </w:r>
    </w:p>
    <w:p w:rsidR="003F259E" w:rsidRDefault="00F803B1">
      <w:pPr>
        <w:pStyle w:val="a3"/>
        <w:spacing w:line="460" w:lineRule="exact"/>
        <w:ind w:left="840" w:hanging="840"/>
        <w:jc w:val="both"/>
      </w:pPr>
      <w:r>
        <w:rPr>
          <w:sz w:val="28"/>
          <w:szCs w:val="28"/>
        </w:rPr>
        <w:lastRenderedPageBreak/>
        <w:t>十一、</w:t>
      </w:r>
      <w:r>
        <w:rPr>
          <w:rFonts w:cs="Times New Roman"/>
          <w:bCs/>
          <w:kern w:val="0"/>
          <w:sz w:val="28"/>
          <w:szCs w:val="28"/>
        </w:rPr>
        <w:t>本要點中華民國一百零九年二月一日修正生效前，經本部核定辦理之國小加註專門課程，應於各大學檢附第八點第三項所定資料，經本部備查後，始得繼續辦理。</w:t>
      </w:r>
    </w:p>
    <w:p w:rsidR="003F259E" w:rsidRDefault="00F803B1">
      <w:pPr>
        <w:pStyle w:val="Textbody"/>
        <w:jc w:val="both"/>
        <w:rPr>
          <w:rFonts w:ascii="標楷體" w:eastAsia="標楷體" w:hAnsi="標楷體"/>
          <w:sz w:val="26"/>
          <w:szCs w:val="26"/>
        </w:rPr>
      </w:pPr>
      <w:r>
        <w:rPr>
          <w:rFonts w:ascii="標楷體" w:eastAsia="標楷體" w:hAnsi="標楷體"/>
          <w:sz w:val="26"/>
          <w:szCs w:val="26"/>
        </w:rPr>
        <w:t xml:space="preserve"> </w:t>
      </w:r>
    </w:p>
    <w:p w:rsidR="003F259E" w:rsidRDefault="00F803B1">
      <w:pPr>
        <w:pStyle w:val="Textbody"/>
        <w:widowControl/>
      </w:pPr>
      <w:r>
        <w:rPr>
          <w:rFonts w:ascii="Times New Roman" w:eastAsia="標楷體" w:hAnsi="Times New Roman"/>
          <w:sz w:val="28"/>
          <w:szCs w:val="28"/>
        </w:rPr>
        <w:t xml:space="preserve"> </w:t>
      </w:r>
    </w:p>
    <w:sectPr w:rsidR="003F259E">
      <w:pgSz w:w="11906" w:h="16838"/>
      <w:pgMar w:top="1418" w:right="849" w:bottom="1418" w:left="1701"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B1" w:rsidRDefault="00F803B1">
      <w:r>
        <w:separator/>
      </w:r>
    </w:p>
  </w:endnote>
  <w:endnote w:type="continuationSeparator" w:id="0">
    <w:p w:rsidR="00F803B1" w:rsidRDefault="00F8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B1" w:rsidRDefault="00F803B1">
      <w:r>
        <w:rPr>
          <w:color w:val="000000"/>
        </w:rPr>
        <w:separator/>
      </w:r>
    </w:p>
  </w:footnote>
  <w:footnote w:type="continuationSeparator" w:id="0">
    <w:p w:rsidR="00F803B1" w:rsidRDefault="00F80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18"/>
    <w:multiLevelType w:val="multilevel"/>
    <w:tmpl w:val="137858EE"/>
    <w:lvl w:ilvl="0">
      <w:start w:val="1"/>
      <w:numFmt w:val="decimal"/>
      <w:lvlText w:val="(%1)"/>
      <w:lvlJc w:val="left"/>
      <w:pPr>
        <w:ind w:left="643" w:hanging="360"/>
      </w:pPr>
      <w:rPr>
        <w:u w:val="none"/>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F259E"/>
    <w:rsid w:val="003F259E"/>
    <w:rsid w:val="00F803B1"/>
    <w:rsid w:val="00FC42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0A2ED-8A9E-4D64-B32B-7783293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libri Light" w:hAnsi="Calibri Light"/>
      <w:b/>
      <w:bCs/>
      <w:sz w:val="52"/>
      <w:szCs w:val="52"/>
    </w:rPr>
  </w:style>
  <w:style w:type="paragraph" w:styleId="2">
    <w:name w:val="heading 2"/>
    <w:basedOn w:val="Textbody"/>
    <w:next w:val="Textbody"/>
    <w:pPr>
      <w:keepNext/>
      <w:ind w:left="400" w:hanging="400"/>
      <w:outlineLvl w:val="1"/>
    </w:pPr>
    <w:rPr>
      <w:rFonts w:ascii="標楷體" w:eastAsia="標楷體" w:hAnsi="標楷體"/>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customStyle="1" w:styleId="a3">
    <w:name w:val="內文一"/>
    <w:basedOn w:val="Textbody"/>
    <w:pPr>
      <w:overflowPunct w:val="0"/>
      <w:spacing w:before="120" w:line="0" w:lineRule="atLeast"/>
      <w:ind w:left="200" w:hanging="200"/>
    </w:pPr>
    <w:rPr>
      <w:rFonts w:ascii="標楷體" w:eastAsia="標楷體" w:hAnsi="標楷體" w:cs="標楷體"/>
      <w:sz w:val="26"/>
      <w:szCs w:val="26"/>
    </w:rPr>
  </w:style>
  <w:style w:type="paragraph" w:customStyle="1" w:styleId="a4">
    <w:name w:val="內文(一)"/>
    <w:basedOn w:val="Textbody"/>
    <w:pPr>
      <w:overflowPunct w:val="0"/>
      <w:spacing w:line="0" w:lineRule="atLeast"/>
      <w:ind w:left="300" w:hanging="200"/>
    </w:pPr>
    <w:rPr>
      <w:rFonts w:ascii="標楷體" w:eastAsia="標楷體" w:hAnsi="標楷體" w:cs="標楷體"/>
      <w:sz w:val="26"/>
      <w:szCs w:val="26"/>
    </w:rPr>
  </w:style>
  <w:style w:type="paragraph" w:customStyle="1" w:styleId="10">
    <w:name w:val="內文1."/>
    <w:basedOn w:val="a4"/>
    <w:pPr>
      <w:ind w:left="740" w:hanging="260"/>
    </w:pPr>
  </w:style>
  <w:style w:type="paragraph" w:styleId="a5">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libri Light" w:hAnsi="Calibri Light"/>
      <w:sz w:val="18"/>
      <w:szCs w:val="18"/>
    </w:rPr>
  </w:style>
  <w:style w:type="paragraph" w:styleId="a9">
    <w:name w:val="Note Heading"/>
    <w:basedOn w:val="Textbody"/>
    <w:next w:val="Textbody"/>
    <w:pPr>
      <w:jc w:val="center"/>
    </w:pPr>
    <w:rPr>
      <w:rFonts w:ascii="Times New Roman" w:eastAsia="標楷體" w:hAnsi="Times New Roman"/>
      <w:b/>
      <w:szCs w:val="24"/>
    </w:rPr>
  </w:style>
  <w:style w:type="paragraph" w:styleId="aa">
    <w:name w:val="Closing"/>
    <w:basedOn w:val="Textbody"/>
    <w:pPr>
      <w:ind w:left="100"/>
    </w:pPr>
    <w:rPr>
      <w:rFonts w:ascii="Times New Roman" w:eastAsia="標楷體" w:hAnsi="Times New Roman"/>
      <w:b/>
      <w:szCs w:val="24"/>
    </w:rPr>
  </w:style>
  <w:style w:type="character" w:customStyle="1" w:styleId="20">
    <w:name w:val="標題 2 字元"/>
    <w:basedOn w:val="a0"/>
    <w:rPr>
      <w:rFonts w:ascii="標楷體" w:eastAsia="標楷體" w:hAnsi="標楷體" w:cs="Times New Roman"/>
      <w:b/>
      <w:bCs/>
      <w:sz w:val="28"/>
      <w:szCs w:val="48"/>
    </w:rPr>
  </w:style>
  <w:style w:type="character" w:customStyle="1" w:styleId="ab">
    <w:name w:val="內文一 字元"/>
    <w:basedOn w:val="a0"/>
    <w:rPr>
      <w:rFonts w:ascii="標楷體" w:eastAsia="標楷體" w:hAnsi="標楷體" w:cs="標楷體"/>
      <w:sz w:val="26"/>
      <w:szCs w:val="26"/>
    </w:rPr>
  </w:style>
  <w:style w:type="character" w:customStyle="1" w:styleId="ac">
    <w:name w:val="內文(一) 字元"/>
    <w:basedOn w:val="a0"/>
    <w:rPr>
      <w:rFonts w:ascii="標楷體" w:eastAsia="標楷體" w:hAnsi="標楷體" w:cs="標楷體"/>
      <w:sz w:val="26"/>
      <w:szCs w:val="26"/>
    </w:rPr>
  </w:style>
  <w:style w:type="character" w:customStyle="1" w:styleId="11">
    <w:name w:val="內文1. 字元"/>
    <w:basedOn w:val="ac"/>
    <w:rPr>
      <w:rFonts w:ascii="標楷體" w:eastAsia="標楷體" w:hAnsi="標楷體" w:cs="標楷體"/>
      <w:sz w:val="26"/>
      <w:szCs w:val="26"/>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12">
    <w:name w:val="標題 1 字元"/>
    <w:basedOn w:val="a0"/>
    <w:rPr>
      <w:rFonts w:ascii="Calibri Light" w:eastAsia="新細明體" w:hAnsi="Calibri Light" w:cs="Times New Roman"/>
      <w:b/>
      <w:bCs/>
      <w:kern w:val="3"/>
      <w:sz w:val="52"/>
      <w:szCs w:val="52"/>
    </w:rPr>
  </w:style>
  <w:style w:type="character" w:customStyle="1" w:styleId="af">
    <w:name w:val="註解方塊文字 字元"/>
    <w:basedOn w:val="a0"/>
    <w:rPr>
      <w:rFonts w:ascii="Calibri Light" w:eastAsia="新細明體" w:hAnsi="Calibri Light" w:cs="Times New Roman"/>
      <w:sz w:val="18"/>
      <w:szCs w:val="18"/>
    </w:rPr>
  </w:style>
  <w:style w:type="character" w:customStyle="1" w:styleId="af0">
    <w:name w:val="註釋標題 字元"/>
    <w:basedOn w:val="a0"/>
    <w:rPr>
      <w:rFonts w:ascii="Times New Roman" w:eastAsia="標楷體" w:hAnsi="Times New Roman" w:cs="Times New Roman"/>
      <w:b/>
      <w:szCs w:val="24"/>
    </w:rPr>
  </w:style>
  <w:style w:type="character" w:customStyle="1" w:styleId="af1">
    <w:name w:val="結語 字元"/>
    <w:basedOn w:val="a0"/>
    <w:rPr>
      <w:rFonts w:ascii="Times New Roman" w:eastAsia="標楷體"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c/tmp/0317/105938/TmpDir/OpenTmp/LINK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郭家伶</dc:creator>
  <dc:description/>
  <cp:lastModifiedBy>教導</cp:lastModifiedBy>
  <cp:revision>2</cp:revision>
  <cp:lastPrinted>2020-02-26T01:26:00Z</cp:lastPrinted>
  <dcterms:created xsi:type="dcterms:W3CDTF">2020-03-23T05:44:00Z</dcterms:created>
  <dcterms:modified xsi:type="dcterms:W3CDTF">2020-03-23T05:44:00Z</dcterms:modified>
</cp:coreProperties>
</file>