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noProof/>
          <w:sz w:val="56"/>
          <w:szCs w:val="56"/>
        </w:rPr>
        <w:drawing>
          <wp:inline distT="0" distB="0" distL="0" distR="0">
            <wp:extent cx="1800000" cy="1800000"/>
            <wp:effectExtent l="0" t="0" r="0" b="0"/>
            <wp:docPr id="9" name="圖片 9"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800000"/>
                    </a:xfrm>
                    <a:prstGeom prst="rect">
                      <a:avLst/>
                    </a:prstGeom>
                    <a:noFill/>
                    <a:ln>
                      <a:noFill/>
                    </a:ln>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國中、小學資通安全管理系統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7F6120" w:rsidP="004362B8">
      <w:pPr>
        <w:rPr>
          <w:rFonts w:ascii="標楷體" w:eastAsia="標楷體" w:hAnsi="標楷體"/>
        </w:rPr>
      </w:pPr>
      <w:r w:rsidRPr="007D5489">
        <w:rPr>
          <w:rFonts w:ascii="標楷體" w:eastAsia="標楷體" w:hAnsi="標楷體" w:cs="Times New Roman" w:hint="eastAsia"/>
          <w:sz w:val="48"/>
          <w:szCs w:val="48"/>
        </w:rPr>
        <w:t>中 華 民 國 103 年 02 月 07 日</w:t>
      </w:r>
    </w:p>
    <w:p w:rsidR="00D842B4" w:rsidRPr="007D5489" w:rsidRDefault="00D842B4" w:rsidP="004362B8">
      <w:pPr>
        <w:rPr>
          <w:rFonts w:ascii="標楷體" w:eastAsia="標楷體" w:hAnsi="標楷體"/>
        </w:rPr>
      </w:pPr>
    </w:p>
    <w:p w:rsidR="004362B8" w:rsidRDefault="004362B8" w:rsidP="004362B8">
      <w:pPr>
        <w:rPr>
          <w:rFonts w:ascii="標楷體" w:eastAsia="標楷體" w:hAnsi="標楷體" w:hint="eastAsia"/>
        </w:rPr>
      </w:pPr>
    </w:p>
    <w:p w:rsidR="007F6120" w:rsidRDefault="007F6120" w:rsidP="004362B8">
      <w:pPr>
        <w:rPr>
          <w:rFonts w:ascii="標楷體" w:eastAsia="標楷體" w:hAnsi="標楷體" w:hint="eastAsia"/>
        </w:rPr>
      </w:pPr>
    </w:p>
    <w:p w:rsidR="007F6120" w:rsidRDefault="007F6120" w:rsidP="004362B8">
      <w:pPr>
        <w:rPr>
          <w:rFonts w:ascii="標楷體" w:eastAsia="標楷體" w:hAnsi="標楷體" w:hint="eastAsia"/>
        </w:rPr>
      </w:pPr>
    </w:p>
    <w:p w:rsidR="007F6120" w:rsidRPr="007D5489" w:rsidRDefault="007F6120" w:rsidP="004362B8">
      <w:pPr>
        <w:rPr>
          <w:rFonts w:ascii="標楷體" w:eastAsia="標楷體" w:hAnsi="標楷體"/>
        </w:rPr>
      </w:pPr>
      <w:r w:rsidRPr="007F6120">
        <w:rPr>
          <w:rFonts w:ascii="標楷體" w:eastAsia="標楷體" w:hAnsi="標楷體" w:hint="eastAsia"/>
          <w:sz w:val="28"/>
          <w:szCs w:val="28"/>
        </w:rPr>
        <w:t>承辦人：</w:t>
      </w:r>
      <w:r>
        <w:rPr>
          <w:rFonts w:ascii="標楷體" w:eastAsia="標楷體" w:hAnsi="標楷體" w:hint="eastAsia"/>
        </w:rPr>
        <w:t xml:space="preserve">               </w:t>
      </w:r>
      <w:r w:rsidRPr="007F6120">
        <w:rPr>
          <w:rFonts w:ascii="標楷體" w:eastAsia="標楷體" w:hAnsi="標楷體" w:hint="eastAsia"/>
          <w:sz w:val="28"/>
          <w:szCs w:val="28"/>
        </w:rPr>
        <w:t>主任：</w:t>
      </w:r>
      <w:r>
        <w:rPr>
          <w:rFonts w:ascii="標楷體" w:eastAsia="標楷體" w:hAnsi="標楷體" w:hint="eastAsia"/>
        </w:rPr>
        <w:t xml:space="preserve">               </w:t>
      </w:r>
      <w:r w:rsidRPr="007F6120">
        <w:rPr>
          <w:rFonts w:ascii="標楷體" w:eastAsia="標楷體" w:hAnsi="標楷體" w:hint="eastAsia"/>
          <w:sz w:val="28"/>
          <w:szCs w:val="28"/>
        </w:rPr>
        <w:t>校長：</w:t>
      </w:r>
    </w:p>
    <w:p w:rsidR="004362B8" w:rsidRPr="007D5489" w:rsidRDefault="004362B8" w:rsidP="004362B8">
      <w:pPr>
        <w:jc w:val="center"/>
        <w:rPr>
          <w:rFonts w:ascii="標楷體" w:eastAsia="標楷體" w:hAnsi="標楷體"/>
        </w:rPr>
      </w:pP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B737C3">
      <w:pPr>
        <w:widowControl/>
        <w:rPr>
          <w:rFonts w:ascii="標楷體" w:eastAsia="標楷體" w:hAnsi="標楷體"/>
        </w:rPr>
      </w:pPr>
      <w:r w:rsidRPr="00B737C3">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B737C3" w:rsidP="008479F6">
      <w:pPr>
        <w:rPr>
          <w:rFonts w:ascii="標楷體" w:eastAsia="標楷體" w:hAnsi="標楷體"/>
        </w:rPr>
      </w:pPr>
      <w:r w:rsidRPr="00B737C3">
        <w:rPr>
          <w:b/>
          <w:noProof/>
          <w:sz w:val="32"/>
          <w:szCs w:val="32"/>
        </w:rPr>
        <w:lastRenderedPageBreak/>
        <w:pict>
          <v:shape id="_x0000_s1027" type="#_x0000_t202" style="position:absolute;margin-left:-.6pt;margin-top:1.8pt;width:113.45pt;height:3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B737C3" w:rsidP="005E3334">
      <w:pPr>
        <w:rPr>
          <w:rFonts w:eastAsia="標楷體" w:hAnsi="標楷體"/>
          <w:b/>
          <w:sz w:val="32"/>
          <w:szCs w:val="32"/>
        </w:rPr>
      </w:pPr>
      <w:r w:rsidRPr="00B737C3">
        <w:rPr>
          <w:b/>
          <w:noProof/>
          <w:sz w:val="32"/>
          <w:szCs w:val="32"/>
        </w:rPr>
        <w:lastRenderedPageBreak/>
        <w:pict>
          <v:shape id="_x0000_s1028" type="#_x0000_t202" style="position:absolute;margin-left:.6pt;margin-top:1.8pt;width:113.45pt;height:3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B737C3" w:rsidP="00FB0288">
      <w:pPr>
        <w:rPr>
          <w:rFonts w:ascii="標楷體" w:eastAsia="標楷體" w:hAnsi="標楷體"/>
        </w:rPr>
      </w:pPr>
      <w:r w:rsidRPr="00B737C3">
        <w:rPr>
          <w:b/>
          <w:noProof/>
          <w:sz w:val="32"/>
          <w:szCs w:val="32"/>
        </w:rPr>
        <w:lastRenderedPageBreak/>
        <w:pict>
          <v:shape id="_x0000_s1029" type="#_x0000_t202" style="position:absolute;margin-left:-1.2pt;margin-top:2.4pt;width:113.45pt;height:3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F91DFA">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F91DFA">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F91DFA">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F91DFA">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F91DFA">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B737C3" w:rsidP="00FB0288">
      <w:pPr>
        <w:rPr>
          <w:rFonts w:ascii="標楷體" w:eastAsia="標楷體" w:hAnsi="標楷體"/>
        </w:rPr>
      </w:pPr>
      <w:r w:rsidRPr="00B737C3">
        <w:rPr>
          <w:b/>
          <w:noProof/>
          <w:sz w:val="32"/>
          <w:szCs w:val="32"/>
        </w:rPr>
        <w:lastRenderedPageBreak/>
        <w:pict>
          <v:shape id="_x0000_s1030" type="#_x0000_t202" style="position:absolute;margin-left:1.2pt;margin-top:2.4pt;width:113.45pt;height:32.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B737C3" w:rsidP="00FB0288">
      <w:pPr>
        <w:jc w:val="center"/>
        <w:rPr>
          <w:rFonts w:ascii="標楷體" w:eastAsia="標楷體" w:hAnsi="標楷體"/>
          <w:b/>
          <w:sz w:val="28"/>
          <w:szCs w:val="28"/>
        </w:rPr>
      </w:pPr>
      <w:r w:rsidRPr="00B737C3">
        <w:rPr>
          <w:b/>
          <w:noProof/>
          <w:sz w:val="32"/>
          <w:szCs w:val="32"/>
        </w:rPr>
        <w:lastRenderedPageBreak/>
        <w:pict>
          <v:shape id="_x0000_s1031" type="#_x0000_t202" style="position:absolute;left:0;text-align:left;margin-left:1.8pt;margin-top:2.4pt;width:113.45pt;height:32.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proofErr w:type="gramStart"/>
      <w:r w:rsidR="00FB0288" w:rsidRPr="007D5489">
        <w:rPr>
          <w:rFonts w:ascii="標楷體" w:eastAsia="標楷體" w:hAnsi="標楷體" w:cs="Times New Roman" w:hint="eastAsia"/>
          <w:b/>
          <w:sz w:val="28"/>
          <w:szCs w:val="28"/>
        </w:rPr>
        <w:t>資安事件</w:t>
      </w:r>
      <w:proofErr w:type="gramEnd"/>
      <w:r w:rsidR="00FB0288"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B737C3" w:rsidP="00FB0288">
      <w:pPr>
        <w:jc w:val="right"/>
        <w:rPr>
          <w:rFonts w:ascii="標楷體" w:eastAsia="標楷體" w:hAnsi="標楷體"/>
        </w:rPr>
      </w:pPr>
      <w:r w:rsidRPr="00B737C3">
        <w:rPr>
          <w:b/>
          <w:noProof/>
          <w:sz w:val="32"/>
          <w:szCs w:val="32"/>
        </w:rPr>
        <w:lastRenderedPageBreak/>
        <w:pict>
          <v:shape id="_x0000_s1032" type="#_x0000_t202" style="position:absolute;left:0;text-align:left;margin-left:.6pt;margin-top:2.9pt;width:113.45pt;height:32.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sidR="00FB0288"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91DFA">
            <w:pPr>
              <w:snapToGrid w:val="0"/>
              <w:spacing w:beforeLines="30"/>
              <w:rPr>
                <w:rFonts w:ascii="標楷體" w:eastAsia="標楷體" w:hAnsi="標楷體"/>
              </w:rPr>
            </w:pPr>
            <w:r w:rsidRPr="007D5489">
              <w:rPr>
                <w:rFonts w:ascii="標楷體" w:eastAsia="標楷體" w:hAnsi="標楷體" w:hint="eastAsia"/>
              </w:rPr>
              <w:t>□自行攜入/出</w:t>
            </w:r>
          </w:p>
          <w:p w:rsidR="00FB0288" w:rsidRPr="007D5489" w:rsidRDefault="00FB0288" w:rsidP="00F91DFA">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91DFA">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91DFA">
            <w:pPr>
              <w:snapToGrid w:val="0"/>
              <w:spacing w:beforeLines="30"/>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91DFA">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91DFA">
            <w:pPr>
              <w:snapToGrid w:val="0"/>
              <w:spacing w:beforeLines="5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91DFA">
            <w:pPr>
              <w:snapToGrid w:val="0"/>
              <w:spacing w:beforeLines="5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91DFA">
            <w:pPr>
              <w:snapToGrid w:val="0"/>
              <w:spacing w:beforeLines="50"/>
              <w:rPr>
                <w:rFonts w:ascii="標楷體" w:eastAsia="標楷體" w:hAnsi="標楷體"/>
              </w:rPr>
            </w:pP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B737C3" w:rsidP="00FB0288">
      <w:pPr>
        <w:rPr>
          <w:rFonts w:ascii="標楷體" w:eastAsia="標楷體" w:hAnsi="標楷體"/>
        </w:rPr>
      </w:pPr>
      <w:r w:rsidRPr="00B737C3">
        <w:rPr>
          <w:b/>
          <w:noProof/>
          <w:sz w:val="32"/>
          <w:szCs w:val="32"/>
        </w:rPr>
        <w:lastRenderedPageBreak/>
        <w:pict>
          <v:shape id="_x0000_s1033" type="#_x0000_t202" style="position:absolute;margin-left:-.75pt;margin-top:3.5pt;width:113.45pt;height:32.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B737C3" w:rsidP="00FB0288">
      <w:pPr>
        <w:rPr>
          <w:rFonts w:ascii="標楷體" w:eastAsia="標楷體" w:hAnsi="標楷體"/>
        </w:rPr>
      </w:pPr>
      <w:r w:rsidRPr="00B737C3">
        <w:rPr>
          <w:noProof/>
        </w:rPr>
        <w:pict>
          <v:shape id="Text Box 15" o:spid="_x0000_s1034" type="#_x0000_t202" style="position:absolute;margin-left:6pt;margin-top:5.6pt;width:477pt;height: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B737C3" w:rsidP="00FB0288">
      <w:pPr>
        <w:rPr>
          <w:rFonts w:ascii="標楷體" w:eastAsia="標楷體" w:hAnsi="標楷體"/>
        </w:rPr>
      </w:pPr>
      <w:r w:rsidRPr="00B737C3">
        <w:rPr>
          <w:b/>
          <w:noProof/>
          <w:sz w:val="32"/>
          <w:szCs w:val="32"/>
        </w:rPr>
        <w:lastRenderedPageBreak/>
        <w:pict>
          <v:shape id="_x0000_s1035" type="#_x0000_t202" style="position:absolute;margin-left:-.15pt;margin-top:2.3pt;width:113.45pt;height:32.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B737C3" w:rsidP="00FB0288">
      <w:pPr>
        <w:rPr>
          <w:rFonts w:ascii="標楷體" w:eastAsia="標楷體" w:hAnsi="標楷體"/>
        </w:rPr>
      </w:pPr>
      <w:r w:rsidRPr="00B737C3">
        <w:rPr>
          <w:noProof/>
        </w:rPr>
        <w:pict>
          <v:rect id="Rectangle 3" o:spid="_x0000_s1040" style="position:absolute;margin-left:145.8pt;margin-top:7.85pt;width:81pt;height:8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B737C3" w:rsidP="00FB0288">
      <w:pPr>
        <w:rPr>
          <w:rFonts w:ascii="標楷體" w:eastAsia="標楷體" w:hAnsi="標楷體"/>
        </w:rPr>
      </w:pPr>
      <w:r w:rsidRPr="00B737C3">
        <w:rPr>
          <w:noProof/>
          <w:sz w:val="20"/>
        </w:rPr>
        <w:pict>
          <v:rect id="Rectangle 5" o:spid="_x0000_s1039" style="position:absolute;margin-left:249.6pt;margin-top:13.85pt;width:3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B737C3" w:rsidP="00FB0288">
      <w:pPr>
        <w:rPr>
          <w:rFonts w:ascii="標楷體" w:eastAsia="標楷體" w:hAnsi="標楷體"/>
        </w:rPr>
      </w:pPr>
      <w:r w:rsidRPr="00B737C3">
        <w:rPr>
          <w:noProof/>
        </w:rPr>
        <w:pict>
          <v:shape id="Text Box 4" o:spid="_x0000_s1036" type="#_x0000_t202" style="position:absolute;margin-left:-15pt;margin-top:4.9pt;width:477pt;height: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B737C3" w:rsidP="00CF284C">
      <w:pPr>
        <w:snapToGrid w:val="0"/>
        <w:spacing w:line="400" w:lineRule="exact"/>
        <w:jc w:val="center"/>
        <w:rPr>
          <w:rFonts w:eastAsia="標楷體"/>
          <w:b/>
          <w:sz w:val="32"/>
        </w:rPr>
      </w:pPr>
      <w:r w:rsidRPr="00B737C3">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B737C3">
        <w:rPr>
          <w:noProof/>
        </w:rPr>
        <w:pict>
          <v:shape id="_x0000_s1038" type="#_x0000_t202" style="position:absolute;left:0;text-align:left;margin-left:6pt;margin-top:149.35pt;width:477pt;height:3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B737C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2A" w:rsidRDefault="00BD632A" w:rsidP="00D500BC">
      <w:r>
        <w:separator/>
      </w:r>
    </w:p>
  </w:endnote>
  <w:endnote w:type="continuationSeparator" w:id="0">
    <w:p w:rsidR="00BD632A" w:rsidRDefault="00BD632A"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2A" w:rsidRDefault="00BD632A" w:rsidP="00D500BC">
      <w:r>
        <w:separator/>
      </w:r>
    </w:p>
  </w:footnote>
  <w:footnote w:type="continuationSeparator" w:id="0">
    <w:p w:rsidR="00BD632A" w:rsidRDefault="00BD632A"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1D6D18"/>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7F6120"/>
    <w:rsid w:val="0081433C"/>
    <w:rsid w:val="00842494"/>
    <w:rsid w:val="008479F6"/>
    <w:rsid w:val="008B798E"/>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B5B74"/>
    <w:rsid w:val="00B737C3"/>
    <w:rsid w:val="00B87454"/>
    <w:rsid w:val="00B87DD4"/>
    <w:rsid w:val="00B961CE"/>
    <w:rsid w:val="00BB315C"/>
    <w:rsid w:val="00BC02F1"/>
    <w:rsid w:val="00BC1FD2"/>
    <w:rsid w:val="00BC516C"/>
    <w:rsid w:val="00BD632A"/>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91DFA"/>
    <w:rsid w:val="00FA64EF"/>
    <w:rsid w:val="00FB0288"/>
    <w:rsid w:val="00FB057D"/>
    <w:rsid w:val="00FE52FC"/>
    <w:rsid w:val="00FF056F"/>
    <w:rsid w:val="00FF287C"/>
    <w:rsid w:val="00FF4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C3"/>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D3B8-283C-404E-95E3-366CA0BA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admin</cp:lastModifiedBy>
  <cp:revision>2</cp:revision>
  <cp:lastPrinted>2018-07-08T03:50:00Z</cp:lastPrinted>
  <dcterms:created xsi:type="dcterms:W3CDTF">2018-07-08T03:58:00Z</dcterms:created>
  <dcterms:modified xsi:type="dcterms:W3CDTF">2018-07-08T03:58:00Z</dcterms:modified>
</cp:coreProperties>
</file>