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B91" w:rsidRDefault="001732D9">
      <w:pPr>
        <w:jc w:val="center"/>
      </w:pPr>
      <w:r>
        <w:rPr>
          <w:rFonts w:ascii="標楷體" w:eastAsia="標楷體" w:hAnsi="標楷體" w:cs="BiauKai"/>
          <w:b/>
          <w:sz w:val="28"/>
          <w:szCs w:val="28"/>
        </w:rPr>
        <w:t>台南</w:t>
      </w:r>
      <w:r>
        <w:rPr>
          <w:rFonts w:ascii="標楷體" w:eastAsia="標楷體" w:hAnsi="標楷體" w:cs="Gungsuh"/>
          <w:b/>
          <w:sz w:val="28"/>
          <w:szCs w:val="28"/>
        </w:rPr>
        <w:t>市</w:t>
      </w:r>
      <w:r>
        <w:rPr>
          <w:rFonts w:ascii="標楷體" w:eastAsia="標楷體" w:hAnsi="標楷體" w:cs="Gungsuh"/>
          <w:b/>
          <w:sz w:val="28"/>
          <w:szCs w:val="28"/>
        </w:rPr>
        <w:t>108</w:t>
      </w:r>
      <w:r>
        <w:rPr>
          <w:rFonts w:ascii="標楷體" w:eastAsia="標楷體" w:hAnsi="標楷體" w:cs="Gungsuh"/>
          <w:b/>
          <w:sz w:val="28"/>
          <w:szCs w:val="28"/>
        </w:rPr>
        <w:t>學年</w:t>
      </w:r>
      <w:bookmarkStart w:id="0" w:name="_GoBack"/>
      <w:bookmarkEnd w:id="0"/>
      <w:r>
        <w:rPr>
          <w:rFonts w:ascii="標楷體" w:eastAsia="標楷體" w:hAnsi="標楷體" w:cs="Gungsuh"/>
          <w:b/>
          <w:sz w:val="28"/>
          <w:szCs w:val="28"/>
        </w:rPr>
        <w:t>度精進國民中小學教師教學專業與課程品質整體推動計畫</w:t>
      </w:r>
    </w:p>
    <w:p w:rsidR="008F6B91" w:rsidRDefault="001732D9">
      <w:pPr>
        <w:jc w:val="center"/>
      </w:pPr>
      <w:r>
        <w:rPr>
          <w:rFonts w:ascii="標楷體" w:eastAsia="標楷體" w:hAnsi="標楷體" w:cs="Gungsuh"/>
          <w:b/>
          <w:sz w:val="28"/>
          <w:szCs w:val="28"/>
          <w:shd w:val="clear" w:color="auto" w:fill="F2F2F2"/>
        </w:rPr>
        <w:t>國民教育輔導團藝術領域輔導小組</w:t>
      </w:r>
    </w:p>
    <w:p w:rsidR="008F6B91" w:rsidRDefault="001732D9">
      <w:pPr>
        <w:pStyle w:val="1"/>
        <w:shd w:val="clear" w:color="auto" w:fill="FFFFFF"/>
        <w:spacing w:before="0" w:after="0"/>
        <w:jc w:val="center"/>
      </w:pPr>
      <w:r>
        <w:rPr>
          <w:rFonts w:ascii="標楷體" w:eastAsia="標楷體" w:hAnsi="標楷體"/>
          <w:color w:val="000000"/>
          <w:sz w:val="28"/>
          <w:szCs w:val="28"/>
        </w:rPr>
        <w:t>美感自動好系列</w:t>
      </w:r>
      <w:r>
        <w:rPr>
          <w:rFonts w:ascii="標楷體" w:eastAsia="標楷體" w:hAnsi="標楷體"/>
          <w:color w:val="000000"/>
          <w:sz w:val="28"/>
          <w:szCs w:val="28"/>
        </w:rPr>
        <w:t>-</w:t>
      </w:r>
      <w:r>
        <w:rPr>
          <w:rFonts w:ascii="標楷體" w:eastAsia="標楷體" w:hAnsi="標楷體"/>
          <w:color w:val="000000"/>
          <w:sz w:val="28"/>
          <w:szCs w:val="28"/>
        </w:rPr>
        <w:t>「</w:t>
      </w:r>
      <w:r>
        <w:rPr>
          <w:rFonts w:ascii="標楷體" w:eastAsia="標楷體" w:hAnsi="標楷體" w:cs="Arial"/>
          <w:color w:val="000000"/>
          <w:sz w:val="28"/>
          <w:szCs w:val="28"/>
        </w:rPr>
        <w:t>音樂與文學的邂逅</w:t>
      </w:r>
      <w:r>
        <w:rPr>
          <w:rFonts w:ascii="標楷體" w:eastAsia="標楷體" w:hAnsi="標楷體"/>
          <w:color w:val="000000"/>
          <w:sz w:val="28"/>
          <w:szCs w:val="28"/>
        </w:rPr>
        <w:t>」實施計畫</w:t>
      </w:r>
    </w:p>
    <w:p w:rsidR="008F6B91" w:rsidRDefault="001732D9">
      <w:pPr>
        <w:snapToGrid w:val="0"/>
        <w:jc w:val="both"/>
        <w:rPr>
          <w:rFonts w:ascii="標楷體" w:eastAsia="標楷體" w:hAnsi="標楷體"/>
          <w:b/>
        </w:rPr>
      </w:pPr>
      <w:r>
        <w:rPr>
          <w:rFonts w:ascii="標楷體" w:eastAsia="標楷體" w:hAnsi="標楷體"/>
          <w:b/>
        </w:rPr>
        <w:t>一、依據：</w:t>
      </w:r>
    </w:p>
    <w:p w:rsidR="008F6B91" w:rsidRDefault="001732D9">
      <w:pPr>
        <w:snapToGrid w:val="0"/>
        <w:ind w:left="720" w:hanging="720"/>
        <w:rPr>
          <w:rFonts w:ascii="標楷體" w:eastAsia="標楷體" w:hAnsi="標楷體"/>
        </w:rPr>
      </w:pPr>
      <w:r>
        <w:rPr>
          <w:rFonts w:ascii="標楷體" w:eastAsia="標楷體" w:hAnsi="標楷體"/>
        </w:rPr>
        <w:t>（一）教育部國民及學前教育署補助辦理十二年國民基本教育精進國民中學及國民小學教學品質要點。</w:t>
      </w:r>
    </w:p>
    <w:p w:rsidR="008F6B91" w:rsidRDefault="001732D9">
      <w:pPr>
        <w:autoSpaceDE w:val="0"/>
        <w:snapToGrid w:val="0"/>
        <w:rPr>
          <w:rFonts w:ascii="標楷體" w:eastAsia="標楷體" w:hAnsi="標楷體"/>
        </w:rPr>
      </w:pPr>
      <w:r>
        <w:rPr>
          <w:rFonts w:ascii="標楷體" w:eastAsia="標楷體" w:hAnsi="標楷體"/>
        </w:rPr>
        <w:t>（二）臺南市</w:t>
      </w:r>
      <w:r>
        <w:rPr>
          <w:rFonts w:ascii="標楷體" w:eastAsia="標楷體" w:hAnsi="標楷體"/>
        </w:rPr>
        <w:t>108</w:t>
      </w:r>
      <w:r>
        <w:rPr>
          <w:rFonts w:ascii="標楷體" w:eastAsia="標楷體" w:hAnsi="標楷體"/>
        </w:rPr>
        <w:t>學年度十二年國民基本教育精進國民中學及國民小學教學品質計畫。</w:t>
      </w:r>
    </w:p>
    <w:p w:rsidR="008F6B91" w:rsidRDefault="001732D9">
      <w:pPr>
        <w:autoSpaceDE w:val="0"/>
        <w:snapToGrid w:val="0"/>
        <w:rPr>
          <w:rFonts w:ascii="標楷體" w:eastAsia="標楷體" w:hAnsi="標楷體"/>
        </w:rPr>
      </w:pPr>
      <w:r>
        <w:rPr>
          <w:rFonts w:ascii="標楷體" w:eastAsia="標楷體" w:hAnsi="標楷體"/>
        </w:rPr>
        <w:t>（三）臺南市</w:t>
      </w:r>
      <w:r>
        <w:rPr>
          <w:rFonts w:ascii="標楷體" w:eastAsia="標楷體" w:hAnsi="標楷體"/>
        </w:rPr>
        <w:t>108</w:t>
      </w:r>
      <w:r>
        <w:rPr>
          <w:rFonts w:ascii="標楷體" w:eastAsia="標楷體" w:hAnsi="標楷體"/>
        </w:rPr>
        <w:t>學年度國民教育輔導團運作與輔導工作計畫。</w:t>
      </w:r>
    </w:p>
    <w:p w:rsidR="008F6B91" w:rsidRDefault="001732D9">
      <w:pPr>
        <w:snapToGrid w:val="0"/>
        <w:jc w:val="both"/>
        <w:rPr>
          <w:rFonts w:ascii="標楷體" w:eastAsia="標楷體" w:hAnsi="標楷體"/>
          <w:b/>
        </w:rPr>
      </w:pPr>
      <w:r>
        <w:rPr>
          <w:rFonts w:ascii="標楷體" w:eastAsia="標楷體" w:hAnsi="標楷體"/>
          <w:b/>
        </w:rPr>
        <w:t>二、目的：</w:t>
      </w:r>
    </w:p>
    <w:p w:rsidR="008F6B91" w:rsidRDefault="001732D9">
      <w:pPr>
        <w:pStyle w:val="-11"/>
        <w:snapToGrid w:val="0"/>
        <w:ind w:left="0"/>
        <w:jc w:val="both"/>
        <w:rPr>
          <w:rFonts w:ascii="標楷體" w:eastAsia="標楷體" w:hAnsi="標楷體" w:cs="Arial"/>
        </w:rPr>
      </w:pPr>
      <w:r>
        <w:rPr>
          <w:rFonts w:ascii="標楷體" w:eastAsia="標楷體" w:hAnsi="標楷體" w:cs="Arial"/>
        </w:rPr>
        <w:t>(</w:t>
      </w:r>
      <w:r>
        <w:rPr>
          <w:rFonts w:ascii="標楷體" w:eastAsia="標楷體" w:hAnsi="標楷體" w:cs="Arial"/>
        </w:rPr>
        <w:t>一</w:t>
      </w:r>
      <w:r>
        <w:rPr>
          <w:rFonts w:ascii="標楷體" w:eastAsia="標楷體" w:hAnsi="標楷體" w:cs="Arial"/>
        </w:rPr>
        <w:t>)</w:t>
      </w:r>
      <w:r>
        <w:rPr>
          <w:rFonts w:ascii="標楷體" w:eastAsia="標楷體" w:hAnsi="標楷體" w:cs="Arial"/>
        </w:rPr>
        <w:t>精進本市國中藝術教師之素養導向教學專業能力，提升課程設計專業知能。</w:t>
      </w:r>
    </w:p>
    <w:p w:rsidR="008F6B91" w:rsidRDefault="001732D9">
      <w:pPr>
        <w:pStyle w:val="-11"/>
        <w:snapToGrid w:val="0"/>
        <w:ind w:left="0"/>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協助教師了解台灣近代以來的音樂與文學、生活的結合、社會文化的關係及其影響力。</w:t>
      </w:r>
    </w:p>
    <w:p w:rsidR="008F6B91" w:rsidRDefault="001732D9">
      <w:pPr>
        <w:pStyle w:val="-11"/>
        <w:snapToGrid w:val="0"/>
        <w:ind w:left="0"/>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以流行音樂為例，談音樂與文學之課程設計，做為素養導向課程，落實課堂操作，了解台灣音樂之文化現象以及內涵及特色。</w:t>
      </w:r>
    </w:p>
    <w:p w:rsidR="008F6B91" w:rsidRDefault="001732D9">
      <w:pPr>
        <w:snapToGrid w:val="0"/>
      </w:pPr>
      <w:r>
        <w:rPr>
          <w:rFonts w:ascii="標楷體" w:eastAsia="標楷體" w:hAnsi="標楷體"/>
          <w:b/>
        </w:rPr>
        <w:t>三、辦理單位</w:t>
      </w:r>
      <w:r>
        <w:rPr>
          <w:rFonts w:ascii="標楷體" w:eastAsia="標楷體" w:hAnsi="標楷體"/>
        </w:rPr>
        <w:t>：</w:t>
      </w:r>
    </w:p>
    <w:p w:rsidR="008F6B91" w:rsidRDefault="001732D9">
      <w:pPr>
        <w:snapToGrid w:val="0"/>
        <w:rPr>
          <w:rFonts w:ascii="標楷體" w:eastAsia="標楷體" w:hAnsi="標楷體"/>
        </w:rPr>
      </w:pPr>
      <w:r>
        <w:rPr>
          <w:rFonts w:ascii="標楷體" w:eastAsia="標楷體" w:hAnsi="標楷體"/>
        </w:rPr>
        <w:t>（一）指導單位：教育部國民及學前教育署</w:t>
      </w:r>
    </w:p>
    <w:p w:rsidR="008F6B91" w:rsidRDefault="001732D9">
      <w:pPr>
        <w:snapToGrid w:val="0"/>
        <w:rPr>
          <w:rFonts w:ascii="標楷體" w:eastAsia="標楷體" w:hAnsi="標楷體"/>
        </w:rPr>
      </w:pPr>
      <w:r>
        <w:rPr>
          <w:rFonts w:ascii="標楷體" w:eastAsia="標楷體" w:hAnsi="標楷體"/>
        </w:rPr>
        <w:t>（二）主辦單位：臺南市政府教育局</w:t>
      </w:r>
    </w:p>
    <w:p w:rsidR="008F6B91" w:rsidRDefault="001732D9">
      <w:pPr>
        <w:snapToGrid w:val="0"/>
        <w:rPr>
          <w:rFonts w:ascii="標楷體" w:eastAsia="標楷體" w:hAnsi="標楷體"/>
        </w:rPr>
      </w:pPr>
      <w:r>
        <w:rPr>
          <w:rFonts w:ascii="標楷體" w:eastAsia="標楷體" w:hAnsi="標楷體"/>
        </w:rPr>
        <w:t>（三）承辦單位：臺南市國民教育輔導團藝術領域工作小組、臺南市立復興國中。</w:t>
      </w:r>
    </w:p>
    <w:p w:rsidR="008F6B91" w:rsidRDefault="001732D9">
      <w:pPr>
        <w:snapToGrid w:val="0"/>
      </w:pPr>
      <w:r>
        <w:rPr>
          <w:rFonts w:ascii="標楷體" w:eastAsia="標楷體" w:hAnsi="標楷體"/>
          <w:b/>
        </w:rPr>
        <w:t>四、辦理日期（時間、時數等）及地點</w:t>
      </w:r>
      <w:r>
        <w:rPr>
          <w:rFonts w:ascii="標楷體" w:eastAsia="標楷體" w:hAnsi="標楷體"/>
        </w:rPr>
        <w:t>：</w:t>
      </w:r>
    </w:p>
    <w:p w:rsidR="008F6B91" w:rsidRDefault="001732D9">
      <w:pPr>
        <w:snapToGrid w:val="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時間：</w:t>
      </w:r>
      <w:r>
        <w:rPr>
          <w:rFonts w:ascii="標楷體" w:eastAsia="標楷體" w:hAnsi="標楷體"/>
        </w:rPr>
        <w:t>108</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w:t>
      </w:r>
      <w:r>
        <w:rPr>
          <w:rFonts w:ascii="標楷體" w:eastAsia="標楷體" w:hAnsi="標楷體"/>
        </w:rPr>
        <w:t>三</w:t>
      </w:r>
      <w:r>
        <w:rPr>
          <w:rFonts w:ascii="標楷體" w:eastAsia="標楷體" w:hAnsi="標楷體"/>
        </w:rPr>
        <w:t>)8:30~11:30</w:t>
      </w:r>
    </w:p>
    <w:p w:rsidR="008F6B91" w:rsidRDefault="001732D9">
      <w:pPr>
        <w:snapToGrid w:val="0"/>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 xml:space="preserve">) </w:t>
      </w:r>
      <w:r>
        <w:rPr>
          <w:rFonts w:ascii="標楷體" w:eastAsia="標楷體" w:hAnsi="標楷體"/>
        </w:rPr>
        <w:t>時數：全程參加之教師，核予</w:t>
      </w:r>
      <w:r>
        <w:rPr>
          <w:rFonts w:ascii="標楷體" w:eastAsia="標楷體" w:hAnsi="標楷體"/>
        </w:rPr>
        <w:t>3</w:t>
      </w:r>
      <w:r>
        <w:rPr>
          <w:rFonts w:ascii="標楷體" w:eastAsia="標楷體" w:hAnsi="標楷體"/>
        </w:rPr>
        <w:t>小時研習時數，請逕至臺南市資訊中心學習護照系統</w:t>
      </w:r>
      <w:r>
        <w:rPr>
          <w:rFonts w:ascii="標楷體" w:eastAsia="標楷體" w:hAnsi="標楷體"/>
        </w:rPr>
        <w:tab/>
        <w:t xml:space="preserve">        </w:t>
      </w:r>
      <w:r>
        <w:rPr>
          <w:rFonts w:ascii="標楷體" w:eastAsia="標楷體" w:hAnsi="標楷體"/>
        </w:rPr>
        <w:t>報名。</w:t>
      </w:r>
    </w:p>
    <w:p w:rsidR="008F6B91" w:rsidRDefault="001732D9">
      <w:pPr>
        <w:snapToGrid w:val="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地點：台南市立麻豆國中視聽教室。</w:t>
      </w:r>
    </w:p>
    <w:p w:rsidR="008F6B91" w:rsidRDefault="001732D9">
      <w:pPr>
        <w:snapToGrid w:val="0"/>
      </w:pPr>
      <w:r>
        <w:rPr>
          <w:rFonts w:ascii="標楷體" w:eastAsia="標楷體" w:hAnsi="標楷體"/>
          <w:b/>
        </w:rPr>
        <w:t>五、參加對象與人數</w:t>
      </w:r>
      <w:r>
        <w:rPr>
          <w:rFonts w:ascii="標楷體" w:eastAsia="標楷體" w:hAnsi="標楷體"/>
        </w:rPr>
        <w:t>：</w:t>
      </w:r>
      <w:r>
        <w:rPr>
          <w:rFonts w:ascii="標楷體" w:eastAsia="標楷體" w:hAnsi="標楷體"/>
        </w:rPr>
        <w:t>(</w:t>
      </w:r>
      <w:r>
        <w:rPr>
          <w:rFonts w:ascii="標楷體" w:eastAsia="標楷體" w:hAnsi="標楷體"/>
        </w:rPr>
        <w:t>錄取名額</w:t>
      </w:r>
      <w:r>
        <w:rPr>
          <w:rFonts w:ascii="標楷體" w:eastAsia="標楷體" w:hAnsi="標楷體"/>
          <w:color w:val="000000"/>
        </w:rPr>
        <w:t>50</w:t>
      </w:r>
      <w:r>
        <w:rPr>
          <w:rFonts w:ascii="標楷體" w:eastAsia="標楷體" w:hAnsi="標楷體"/>
          <w:color w:val="000000"/>
        </w:rPr>
        <w:t>人</w:t>
      </w:r>
      <w:r>
        <w:rPr>
          <w:rFonts w:ascii="標楷體" w:eastAsia="標楷體" w:hAnsi="標楷體"/>
        </w:rPr>
        <w:t>)</w:t>
      </w:r>
    </w:p>
    <w:p w:rsidR="008F6B91" w:rsidRDefault="001732D9">
      <w:pPr>
        <w:snapToGrid w:val="0"/>
        <w:rPr>
          <w:rFonts w:ascii="標楷體" w:eastAsia="標楷體" w:hAnsi="標楷體"/>
        </w:rPr>
      </w:pPr>
      <w:r>
        <w:rPr>
          <w:rFonts w:ascii="標楷體" w:eastAsia="標楷體" w:hAnsi="標楷體"/>
        </w:rPr>
        <w:t>（一）本市國中擔任聽覺藝術課程教師，優先報名參加。</w:t>
      </w:r>
    </w:p>
    <w:p w:rsidR="008F6B91" w:rsidRDefault="001732D9">
      <w:pPr>
        <w:snapToGrid w:val="0"/>
        <w:rPr>
          <w:rFonts w:ascii="標楷體" w:eastAsia="標楷體" w:hAnsi="標楷體"/>
        </w:rPr>
      </w:pPr>
      <w:r>
        <w:rPr>
          <w:rFonts w:ascii="標楷體" w:eastAsia="標楷體" w:hAnsi="標楷體"/>
        </w:rPr>
        <w:t>（二）本市國中小藝術領域教師。</w:t>
      </w:r>
    </w:p>
    <w:p w:rsidR="008F6B91" w:rsidRDefault="001732D9">
      <w:pPr>
        <w:snapToGrid w:val="0"/>
        <w:rPr>
          <w:rFonts w:ascii="標楷體" w:eastAsia="標楷體" w:hAnsi="標楷體"/>
        </w:rPr>
      </w:pPr>
      <w:r>
        <w:rPr>
          <w:rFonts w:ascii="標楷體" w:eastAsia="標楷體" w:hAnsi="標楷體"/>
        </w:rPr>
        <w:t xml:space="preserve"> (</w:t>
      </w:r>
      <w:r>
        <w:rPr>
          <w:rFonts w:ascii="標楷體" w:eastAsia="標楷體" w:hAnsi="標楷體"/>
        </w:rPr>
        <w:t>三）本市國中小非藝術專長任課藝術領域教師。</w:t>
      </w:r>
    </w:p>
    <w:p w:rsidR="008F6B91" w:rsidRDefault="001732D9">
      <w:pPr>
        <w:snapToGrid w:val="0"/>
      </w:pPr>
      <w:r>
        <w:rPr>
          <w:rFonts w:ascii="標楷體" w:eastAsia="標楷體" w:hAnsi="標楷體"/>
          <w:b/>
        </w:rPr>
        <w:t>六、研習內容</w:t>
      </w:r>
      <w:r>
        <w:rPr>
          <w:rFonts w:ascii="標楷體" w:eastAsia="標楷體" w:hAnsi="標楷體"/>
        </w:rPr>
        <w:t>：</w:t>
      </w:r>
    </w:p>
    <w:p w:rsidR="008F6B91" w:rsidRDefault="001732D9">
      <w:pPr>
        <w:snapToGrid w:val="0"/>
        <w:spacing w:after="120"/>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活動程序表、活動</w:t>
      </w:r>
      <w:r>
        <w:rPr>
          <w:rFonts w:ascii="標楷體" w:eastAsia="標楷體" w:hAnsi="標楷體"/>
        </w:rPr>
        <w:t>/</w:t>
      </w:r>
      <w:r>
        <w:rPr>
          <w:rFonts w:ascii="標楷體" w:eastAsia="標楷體" w:hAnsi="標楷體"/>
        </w:rPr>
        <w:t>課程內容</w:t>
      </w:r>
      <w:r>
        <w:rPr>
          <w:rFonts w:ascii="標楷體" w:eastAsia="標楷體" w:hAnsi="標楷體"/>
        </w:rPr>
        <w:t>(</w:t>
      </w:r>
      <w:r>
        <w:rPr>
          <w:rFonts w:ascii="標楷體" w:eastAsia="標楷體" w:hAnsi="標楷體"/>
        </w:rPr>
        <w:t>暫定</w:t>
      </w:r>
      <w:r>
        <w:rPr>
          <w:rFonts w:ascii="標楷體" w:eastAsia="標楷體" w:hAnsi="標楷體"/>
        </w:rPr>
        <w:t>)</w:t>
      </w:r>
    </w:p>
    <w:tbl>
      <w:tblPr>
        <w:tblW w:w="9000" w:type="dxa"/>
        <w:jc w:val="center"/>
        <w:tblLayout w:type="fixed"/>
        <w:tblCellMar>
          <w:left w:w="10" w:type="dxa"/>
          <w:right w:w="10" w:type="dxa"/>
        </w:tblCellMar>
        <w:tblLook w:val="0000" w:firstRow="0" w:lastRow="0" w:firstColumn="0" w:lastColumn="0" w:noHBand="0" w:noVBand="0"/>
      </w:tblPr>
      <w:tblGrid>
        <w:gridCol w:w="2160"/>
        <w:gridCol w:w="3227"/>
        <w:gridCol w:w="1559"/>
        <w:gridCol w:w="2054"/>
      </w:tblGrid>
      <w:tr w:rsidR="008F6B91">
        <w:tblPrEx>
          <w:tblCellMar>
            <w:top w:w="0" w:type="dxa"/>
            <w:bottom w:w="0" w:type="dxa"/>
          </w:tblCellMar>
        </w:tblPrEx>
        <w:trPr>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時間</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課程內容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授課教師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備註</w:t>
            </w:r>
          </w:p>
        </w:tc>
      </w:tr>
      <w:tr w:rsidR="008F6B91">
        <w:tblPrEx>
          <w:tblCellMar>
            <w:top w:w="0" w:type="dxa"/>
            <w:bottom w:w="0" w:type="dxa"/>
          </w:tblCellMar>
        </w:tblPrEx>
        <w:trPr>
          <w:trHeight w:val="339"/>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20</w:t>
            </w:r>
            <w:r>
              <w:rPr>
                <w:rFonts w:ascii="標楷體" w:eastAsia="標楷體" w:hAnsi="標楷體" w:cs="新細明體"/>
                <w:kern w:val="0"/>
              </w:rPr>
              <w:t>～</w:t>
            </w: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報到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rPr>
                <w:rFonts w:ascii="標楷體" w:eastAsia="標楷體" w:hAnsi="標楷體" w:cs="新細明體"/>
                <w:kern w:val="0"/>
              </w:rPr>
            </w:pPr>
            <w:r>
              <w:rPr>
                <w:rFonts w:ascii="標楷體" w:eastAsia="標楷體" w:hAnsi="標楷體" w:cs="新細明體"/>
                <w:kern w:val="0"/>
              </w:rPr>
              <w:t>藝術輔導團</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8F6B91">
            <w:pPr>
              <w:widowControl/>
              <w:spacing w:line="300" w:lineRule="exact"/>
              <w:rPr>
                <w:rFonts w:ascii="標楷體" w:eastAsia="標楷體" w:hAnsi="標楷體" w:cs="新細明體"/>
                <w:kern w:val="0"/>
              </w:rPr>
            </w:pPr>
          </w:p>
        </w:tc>
      </w:tr>
      <w:tr w:rsidR="008F6B91">
        <w:tblPrEx>
          <w:tblCellMar>
            <w:top w:w="0" w:type="dxa"/>
            <w:bottom w:w="0" w:type="dxa"/>
          </w:tblCellMar>
        </w:tblPrEx>
        <w:trPr>
          <w:trHeight w:val="383"/>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30</w:t>
            </w:r>
            <w:r>
              <w:rPr>
                <w:rFonts w:ascii="標楷體" w:eastAsia="標楷體" w:hAnsi="標楷體" w:cs="新細明體"/>
                <w:kern w:val="0"/>
              </w:rPr>
              <w:t>～</w:t>
            </w:r>
            <w:r>
              <w:rPr>
                <w:rFonts w:ascii="標楷體" w:eastAsia="標楷體" w:hAnsi="標楷體" w:cs="新細明體"/>
                <w:kern w:val="0"/>
              </w:rPr>
              <w:t>9</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rPr>
                <w:rFonts w:ascii="標楷體" w:eastAsia="標楷體" w:hAnsi="標楷體"/>
              </w:rPr>
            </w:pPr>
            <w:r>
              <w:rPr>
                <w:rFonts w:ascii="標楷體" w:eastAsia="標楷體" w:hAnsi="標楷體"/>
              </w:rPr>
              <w:t>音樂與文學之結合「聲情相符」</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60" w:lineRule="exact"/>
            </w:pPr>
            <w:r>
              <w:rPr>
                <w:rFonts w:ascii="標楷體" w:eastAsia="標楷體" w:hAnsi="標楷體" w:cs="Tahoma"/>
                <w:color w:val="333333"/>
                <w:shd w:val="clear" w:color="auto" w:fill="FFFFFF"/>
              </w:rPr>
              <w:t>施德玉</w:t>
            </w:r>
            <w:r>
              <w:rPr>
                <w:rFonts w:ascii="標楷體" w:eastAsia="標楷體" w:hAnsi="標楷體"/>
              </w:rPr>
              <w:t>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8F6B91">
            <w:pPr>
              <w:widowControl/>
              <w:spacing w:line="300" w:lineRule="exact"/>
              <w:jc w:val="center"/>
              <w:rPr>
                <w:rFonts w:ascii="標楷體" w:eastAsia="標楷體" w:hAnsi="標楷體" w:cs="新細明體"/>
                <w:kern w:val="0"/>
              </w:rPr>
            </w:pPr>
          </w:p>
        </w:tc>
      </w:tr>
      <w:tr w:rsidR="008F6B91">
        <w:tblPrEx>
          <w:tblCellMar>
            <w:top w:w="0" w:type="dxa"/>
            <w:bottom w:w="0" w:type="dxa"/>
          </w:tblCellMar>
        </w:tblPrEx>
        <w:trPr>
          <w:trHeight w:val="43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9</w:t>
            </w:r>
            <w:r>
              <w:rPr>
                <w:rFonts w:ascii="標楷體" w:eastAsia="標楷體" w:hAnsi="標楷體" w:cs="新細明體"/>
                <w:kern w:val="0"/>
              </w:rPr>
              <w:t>：</w:t>
            </w:r>
            <w:r>
              <w:rPr>
                <w:rFonts w:ascii="標楷體" w:eastAsia="標楷體" w:hAnsi="標楷體" w:cs="新細明體"/>
                <w:kern w:val="0"/>
              </w:rPr>
              <w:t>30</w:t>
            </w:r>
            <w:r>
              <w:rPr>
                <w:rFonts w:ascii="標楷體" w:eastAsia="標楷體" w:hAnsi="標楷體" w:cs="新細明體"/>
                <w:kern w:val="0"/>
              </w:rPr>
              <w:t>～</w:t>
            </w:r>
            <w:r>
              <w:rPr>
                <w:rFonts w:ascii="標楷體" w:eastAsia="標楷體" w:hAnsi="標楷體" w:cs="新細明體"/>
                <w:kern w:val="0"/>
              </w:rPr>
              <w:t>10</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rPr>
                <w:rFonts w:ascii="標楷體" w:eastAsia="標楷體" w:hAnsi="標楷體"/>
              </w:rPr>
            </w:pPr>
            <w:r>
              <w:rPr>
                <w:rFonts w:ascii="標楷體" w:eastAsia="標楷體" w:hAnsi="標楷體"/>
              </w:rPr>
              <w:t>台灣近代以來的音樂和社會文化的關係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B91" w:rsidRDefault="001732D9">
            <w:r>
              <w:rPr>
                <w:rFonts w:ascii="標楷體" w:eastAsia="標楷體" w:hAnsi="標楷體" w:cs="Tahoma"/>
                <w:color w:val="333333"/>
                <w:shd w:val="clear" w:color="auto" w:fill="FFFFFF"/>
              </w:rPr>
              <w:t>施德玉</w:t>
            </w:r>
            <w:r>
              <w:rPr>
                <w:rFonts w:ascii="標楷體" w:eastAsia="標楷體" w:hAnsi="標楷體"/>
              </w:rPr>
              <w:t>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8F6B91">
            <w:pPr>
              <w:widowControl/>
              <w:spacing w:line="300" w:lineRule="exact"/>
              <w:jc w:val="center"/>
              <w:rPr>
                <w:rFonts w:ascii="標楷體" w:eastAsia="標楷體" w:hAnsi="標楷體" w:cs="新細明體"/>
                <w:kern w:val="0"/>
              </w:rPr>
            </w:pPr>
          </w:p>
        </w:tc>
      </w:tr>
      <w:tr w:rsidR="008F6B91">
        <w:tblPrEx>
          <w:tblCellMar>
            <w:top w:w="0" w:type="dxa"/>
            <w:bottom w:w="0" w:type="dxa"/>
          </w:tblCellMar>
        </w:tblPrEx>
        <w:trPr>
          <w:trHeight w:val="43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10</w:t>
            </w:r>
            <w:r>
              <w:rPr>
                <w:rFonts w:ascii="標楷體" w:eastAsia="標楷體" w:hAnsi="標楷體" w:cs="新細明體"/>
                <w:kern w:val="0"/>
              </w:rPr>
              <w:t>：</w:t>
            </w:r>
            <w:r>
              <w:rPr>
                <w:rFonts w:ascii="標楷體" w:eastAsia="標楷體" w:hAnsi="標楷體" w:cs="新細明體"/>
                <w:kern w:val="0"/>
              </w:rPr>
              <w:t>30</w:t>
            </w:r>
            <w:r>
              <w:rPr>
                <w:rFonts w:ascii="標楷體" w:eastAsia="標楷體" w:hAnsi="標楷體" w:cs="新細明體"/>
                <w:kern w:val="0"/>
              </w:rPr>
              <w:t>～</w:t>
            </w:r>
            <w:r>
              <w:rPr>
                <w:rFonts w:ascii="標楷體" w:eastAsia="標楷體" w:hAnsi="標楷體" w:cs="新細明體"/>
                <w:kern w:val="0"/>
              </w:rPr>
              <w:t>11</w:t>
            </w:r>
            <w:r>
              <w:rPr>
                <w:rFonts w:ascii="標楷體" w:eastAsia="標楷體" w:hAnsi="標楷體" w:cs="新細明體"/>
                <w:kern w:val="0"/>
              </w:rPr>
              <w:t>：</w:t>
            </w:r>
            <w:r>
              <w:rPr>
                <w:rFonts w:ascii="標楷體" w:eastAsia="標楷體" w:hAnsi="標楷體" w:cs="新細明體"/>
                <w:kern w:val="0"/>
              </w:rPr>
              <w:t>20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rPr>
                <w:rFonts w:ascii="標楷體" w:eastAsia="標楷體" w:hAnsi="標楷體"/>
              </w:rPr>
            </w:pPr>
            <w:r>
              <w:rPr>
                <w:rFonts w:ascii="標楷體" w:eastAsia="標楷體" w:hAnsi="標楷體"/>
              </w:rPr>
              <w:t>以流行音樂為例，談文學與音樂之課程設計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6B91" w:rsidRDefault="001732D9">
            <w:r>
              <w:rPr>
                <w:rFonts w:ascii="標楷體" w:eastAsia="標楷體" w:hAnsi="標楷體" w:cs="Tahoma"/>
                <w:color w:val="333333"/>
                <w:shd w:val="clear" w:color="auto" w:fill="FFFFFF"/>
              </w:rPr>
              <w:t>施德玉</w:t>
            </w:r>
            <w:r>
              <w:rPr>
                <w:rFonts w:ascii="標楷體" w:eastAsia="標楷體" w:hAnsi="標楷體"/>
              </w:rPr>
              <w:t>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8F6B91">
            <w:pPr>
              <w:widowControl/>
              <w:spacing w:line="300" w:lineRule="exact"/>
              <w:rPr>
                <w:rFonts w:ascii="標楷體" w:eastAsia="標楷體" w:hAnsi="標楷體" w:cs="新細明體"/>
                <w:kern w:val="0"/>
              </w:rPr>
            </w:pPr>
          </w:p>
        </w:tc>
      </w:tr>
      <w:tr w:rsidR="008F6B91">
        <w:tblPrEx>
          <w:tblCellMar>
            <w:top w:w="0" w:type="dxa"/>
            <w:bottom w:w="0" w:type="dxa"/>
          </w:tblCellMar>
        </w:tblPrEx>
        <w:trPr>
          <w:trHeight w:val="43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jc w:val="center"/>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w:t>
            </w:r>
            <w:r>
              <w:rPr>
                <w:rFonts w:ascii="標楷體" w:eastAsia="標楷體" w:hAnsi="標楷體" w:cs="新細明體"/>
                <w:kern w:val="0"/>
              </w:rPr>
              <w:t>20</w:t>
            </w:r>
            <w:r>
              <w:rPr>
                <w:rFonts w:ascii="標楷體" w:eastAsia="標楷體" w:hAnsi="標楷體" w:cs="新細明體"/>
                <w:kern w:val="0"/>
              </w:rPr>
              <w:t>～</w:t>
            </w:r>
            <w:r>
              <w:rPr>
                <w:rFonts w:ascii="標楷體" w:eastAsia="標楷體" w:hAnsi="標楷體" w:cs="新細明體"/>
                <w:kern w:val="0"/>
              </w:rPr>
              <w:t>11</w:t>
            </w:r>
            <w:r>
              <w:rPr>
                <w:rFonts w:ascii="標楷體" w:eastAsia="標楷體" w:hAnsi="標楷體" w:cs="新細明體"/>
                <w:kern w:val="0"/>
              </w:rPr>
              <w:t>：</w:t>
            </w:r>
            <w:r>
              <w:rPr>
                <w:rFonts w:ascii="標楷體" w:eastAsia="標楷體" w:hAnsi="標楷體" w:cs="新細明體"/>
                <w:kern w:val="0"/>
              </w:rPr>
              <w:t>30</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widowControl/>
              <w:spacing w:line="300" w:lineRule="exact"/>
              <w:rPr>
                <w:rFonts w:ascii="標楷體" w:eastAsia="標楷體" w:hAnsi="標楷體" w:cs="新細明體"/>
                <w:kern w:val="0"/>
              </w:rPr>
            </w:pPr>
            <w:r>
              <w:rPr>
                <w:rFonts w:ascii="標楷體" w:eastAsia="標楷體" w:hAnsi="標楷體" w:cs="新細明體"/>
                <w:kern w:val="0"/>
              </w:rPr>
              <w:t>問題與回饋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1732D9">
            <w:pPr>
              <w:jc w:val="center"/>
            </w:pPr>
            <w:r>
              <w:rPr>
                <w:rFonts w:ascii="標楷體" w:eastAsia="標楷體" w:hAnsi="標楷體" w:cs="Tahoma"/>
                <w:color w:val="333333"/>
                <w:shd w:val="clear" w:color="auto" w:fill="FFFFFF"/>
              </w:rPr>
              <w:t>施德玉</w:t>
            </w:r>
            <w:r>
              <w:rPr>
                <w:rFonts w:ascii="標楷體" w:eastAsia="標楷體" w:hAnsi="標楷體"/>
              </w:rPr>
              <w:t>老師</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6B91" w:rsidRDefault="008F6B91">
            <w:pPr>
              <w:widowControl/>
              <w:spacing w:line="300" w:lineRule="exact"/>
              <w:jc w:val="center"/>
              <w:rPr>
                <w:rFonts w:ascii="標楷體" w:eastAsia="標楷體" w:hAnsi="標楷體" w:cs="新細明體"/>
                <w:kern w:val="0"/>
              </w:rPr>
            </w:pPr>
          </w:p>
        </w:tc>
      </w:tr>
    </w:tbl>
    <w:p w:rsidR="008F6B91" w:rsidRDefault="001732D9">
      <w:pPr>
        <w:snapToGrid w:val="0"/>
        <w:rPr>
          <w:rFonts w:ascii="標楷體" w:eastAsia="標楷體" w:hAnsi="標楷體"/>
        </w:rPr>
      </w:pPr>
      <w:r>
        <w:rPr>
          <w:rFonts w:ascii="標楷體" w:eastAsia="標楷體" w:hAnsi="標楷體"/>
        </w:rPr>
        <w:t xml:space="preserve">   </w:t>
      </w:r>
    </w:p>
    <w:p w:rsidR="008F6B91" w:rsidRDefault="001732D9">
      <w:pPr>
        <w:snapToGrid w:val="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講師：</w:t>
      </w:r>
      <w:r>
        <w:rPr>
          <w:rFonts w:ascii="標楷體" w:eastAsia="標楷體" w:hAnsi="標楷體"/>
        </w:rPr>
        <w:t xml:space="preserve"> </w:t>
      </w:r>
    </w:p>
    <w:p w:rsidR="008F6B91" w:rsidRDefault="001732D9">
      <w:r>
        <w:rPr>
          <w:rFonts w:ascii="標楷體" w:eastAsia="標楷體" w:hAnsi="標楷體" w:cs="Tahoma"/>
          <w:color w:val="333333"/>
          <w:shd w:val="clear" w:color="auto" w:fill="FFFFFF"/>
        </w:rPr>
        <w:t>施德玉</w:t>
      </w:r>
      <w:r>
        <w:rPr>
          <w:rFonts w:ascii="標楷體" w:eastAsia="標楷體" w:hAnsi="標楷體"/>
        </w:rPr>
        <w:t>老師</w:t>
      </w:r>
      <w:r>
        <w:rPr>
          <w:rFonts w:ascii="標楷體" w:eastAsia="標楷體" w:hAnsi="標楷體"/>
        </w:rPr>
        <w:t>(</w:t>
      </w:r>
      <w:r>
        <w:rPr>
          <w:rFonts w:ascii="標楷體" w:eastAsia="標楷體" w:hAnsi="標楷體"/>
        </w:rPr>
        <w:t>暫定</w:t>
      </w:r>
      <w:r>
        <w:rPr>
          <w:rFonts w:ascii="標楷體" w:eastAsia="標楷體" w:hAnsi="標楷體"/>
        </w:rPr>
        <w:t>)</w:t>
      </w:r>
    </w:p>
    <w:p w:rsidR="008F6B91" w:rsidRDefault="001732D9">
      <w:pPr>
        <w:rPr>
          <w:rFonts w:ascii="標楷體" w:eastAsia="標楷體" w:hAnsi="標楷體" w:cs="Tahoma"/>
          <w:color w:val="333333"/>
          <w:shd w:val="clear" w:color="auto" w:fill="FFFFFF"/>
        </w:rPr>
      </w:pPr>
      <w:r>
        <w:rPr>
          <w:rFonts w:ascii="標楷體" w:eastAsia="標楷體" w:hAnsi="標楷體" w:cs="Tahoma"/>
          <w:color w:val="333333"/>
          <w:shd w:val="clear" w:color="auto" w:fill="FFFFFF"/>
        </w:rPr>
        <w:t>香港新亞研究所文學博士學位、美國</w:t>
      </w:r>
      <w:r>
        <w:rPr>
          <w:rFonts w:ascii="標楷體" w:eastAsia="標楷體" w:hAnsi="標楷體" w:cs="Tahoma"/>
          <w:color w:val="333333"/>
          <w:shd w:val="clear" w:color="auto" w:fill="FFFFFF"/>
        </w:rPr>
        <w:t>Lindenwood University</w:t>
      </w:r>
      <w:r>
        <w:rPr>
          <w:rFonts w:ascii="標楷體" w:eastAsia="標楷體" w:hAnsi="標楷體" w:cs="Tahoma"/>
          <w:color w:val="333333"/>
          <w:shd w:val="clear" w:color="auto" w:fill="FFFFFF"/>
        </w:rPr>
        <w:t>音樂教育碩士學位</w:t>
      </w:r>
    </w:p>
    <w:p w:rsidR="008F6B91" w:rsidRDefault="001732D9">
      <w:r>
        <w:rPr>
          <w:rFonts w:ascii="標楷體" w:eastAsia="標楷體" w:hAnsi="標楷體"/>
        </w:rPr>
        <w:t>現任：國立</w:t>
      </w:r>
      <w:r>
        <w:rPr>
          <w:rFonts w:ascii="標楷體" w:eastAsia="標楷體" w:hAnsi="標楷體" w:cs="Tahoma"/>
          <w:color w:val="333333"/>
          <w:shd w:val="clear" w:color="auto" w:fill="FFFFFF"/>
        </w:rPr>
        <w:t>成功大學</w:t>
      </w:r>
      <w:r>
        <w:rPr>
          <w:rFonts w:ascii="標楷體" w:eastAsia="標楷體" w:hAnsi="標楷體"/>
        </w:rPr>
        <w:t>藝術研究所</w:t>
      </w:r>
      <w:r>
        <w:rPr>
          <w:rFonts w:ascii="標楷體" w:eastAsia="標楷體" w:hAnsi="標楷體" w:cs="Tahoma"/>
          <w:color w:val="333333"/>
          <w:shd w:val="clear" w:color="auto" w:fill="FFFFFF"/>
        </w:rPr>
        <w:t>教授</w:t>
      </w:r>
    </w:p>
    <w:p w:rsidR="008F6B91" w:rsidRDefault="001732D9">
      <w:pPr>
        <w:rPr>
          <w:rFonts w:ascii="標楷體" w:eastAsia="標楷體" w:hAnsi="標楷體" w:cs="Tahoma"/>
          <w:color w:val="333333"/>
          <w:shd w:val="clear" w:color="auto" w:fill="FFFFFF"/>
        </w:rPr>
      </w:pPr>
      <w:r>
        <w:rPr>
          <w:rFonts w:ascii="標楷體" w:eastAsia="標楷體" w:hAnsi="標楷體" w:cs="Tahoma"/>
          <w:color w:val="333333"/>
          <w:shd w:val="clear" w:color="auto" w:fill="FFFFFF"/>
        </w:rPr>
        <w:lastRenderedPageBreak/>
        <w:t>曾任：南華大學、文化大學、國立台灣藝術大學</w:t>
      </w:r>
    </w:p>
    <w:p w:rsidR="008F6B91" w:rsidRDefault="001732D9">
      <w:pPr>
        <w:rPr>
          <w:rFonts w:ascii="標楷體" w:eastAsia="標楷體" w:hAnsi="標楷體" w:cs="Tahoma"/>
          <w:color w:val="333333"/>
          <w:shd w:val="clear" w:color="auto" w:fill="FFFFFF"/>
        </w:rPr>
      </w:pPr>
      <w:r>
        <w:rPr>
          <w:rFonts w:ascii="標楷體" w:eastAsia="標楷體" w:hAnsi="標楷體" w:cs="Tahoma"/>
          <w:color w:val="333333"/>
          <w:shd w:val="clear" w:color="auto" w:fill="FFFFFF"/>
        </w:rPr>
        <w:t>專長：民族音樂學、中國音樂史、戲曲音樂、臺灣音樂專題研究</w:t>
      </w:r>
    </w:p>
    <w:p w:rsidR="008F6B91" w:rsidRDefault="001732D9">
      <w:pPr>
        <w:rPr>
          <w:rFonts w:ascii="標楷體" w:eastAsia="標楷體" w:hAnsi="標楷體" w:cs="Tahoma"/>
          <w:color w:val="333333"/>
          <w:shd w:val="clear" w:color="auto" w:fill="FFFFFF"/>
        </w:rPr>
      </w:pPr>
      <w:r>
        <w:rPr>
          <w:rFonts w:ascii="標楷體" w:eastAsia="標楷體" w:hAnsi="標楷體" w:cs="Tahoma"/>
          <w:color w:val="333333"/>
          <w:shd w:val="clear" w:color="auto" w:fill="FFFFFF"/>
        </w:rPr>
        <w:t>1996</w:t>
      </w:r>
      <w:r>
        <w:rPr>
          <w:rFonts w:ascii="標楷體" w:eastAsia="標楷體" w:hAnsi="標楷體" w:cs="Tahoma"/>
          <w:color w:val="333333"/>
          <w:shd w:val="clear" w:color="auto" w:fill="FFFFFF"/>
        </w:rPr>
        <w:t>年起先後擔任中華民俗藝術基金會董事、中華民國國樂</w:t>
      </w:r>
      <w:r>
        <w:rPr>
          <w:rFonts w:ascii="標楷體" w:eastAsia="標楷體" w:hAnsi="標楷體" w:cs="Tahoma"/>
          <w:color w:val="333333"/>
          <w:shd w:val="clear" w:color="auto" w:fill="FFFFFF"/>
        </w:rPr>
        <w:t xml:space="preserve"> </w:t>
      </w:r>
      <w:r>
        <w:rPr>
          <w:rFonts w:ascii="標楷體" w:eastAsia="標楷體" w:hAnsi="標楷體" w:cs="Tahoma"/>
          <w:color w:val="333333"/>
          <w:shd w:val="clear" w:color="auto" w:fill="FFFFFF"/>
        </w:rPr>
        <w:t>學會副理事長、民族音樂學會理事、國家文藝基金會董事，積極致力於臺灣藝術文化的保存、推廣與傳承的工作，對於臺灣地方戲曲和音樂的保存與研究有極大的貢獻。深厚的國樂和戲曲基礎，並推動執行兩岸藝術文化交流活動，對於中華傳統藝術文化之傳承與推廣有相當的貢獻。</w:t>
      </w:r>
    </w:p>
    <w:p w:rsidR="008F6B91" w:rsidRDefault="001732D9">
      <w:pPr>
        <w:rPr>
          <w:rFonts w:ascii="標楷體" w:eastAsia="標楷體" w:hAnsi="標楷體" w:cs="Tahoma"/>
          <w:color w:val="333333"/>
          <w:shd w:val="clear" w:color="auto" w:fill="FFFFFF"/>
        </w:rPr>
      </w:pPr>
      <w:r>
        <w:rPr>
          <w:rFonts w:ascii="標楷體" w:eastAsia="標楷體" w:hAnsi="標楷體" w:cs="Tahoma"/>
          <w:color w:val="333333"/>
          <w:shd w:val="clear" w:color="auto" w:fill="FFFFFF"/>
        </w:rPr>
        <w:t>主持和參與執行的計畫：</w:t>
      </w:r>
      <w:r>
        <w:rPr>
          <w:rFonts w:ascii="標楷體" w:eastAsia="標楷體" w:hAnsi="標楷體" w:cs="Tahoma"/>
          <w:color w:val="333333"/>
          <w:shd w:val="clear" w:color="auto" w:fill="FFFFFF"/>
        </w:rPr>
        <w:t>1996-1998</w:t>
      </w:r>
      <w:r>
        <w:rPr>
          <w:rFonts w:ascii="標楷體" w:eastAsia="標楷體" w:hAnsi="標楷體" w:cs="Tahoma"/>
          <w:color w:val="333333"/>
          <w:shd w:val="clear" w:color="auto" w:fill="FFFFFF"/>
        </w:rPr>
        <w:t>〈皮影戲復興閣許福能技藝保存〉、</w:t>
      </w:r>
      <w:r>
        <w:rPr>
          <w:rFonts w:ascii="標楷體" w:eastAsia="標楷體" w:hAnsi="標楷體" w:cs="Tahoma"/>
          <w:color w:val="333333"/>
          <w:shd w:val="clear" w:color="auto" w:fill="FFFFFF"/>
        </w:rPr>
        <w:t>1996-1997</w:t>
      </w:r>
      <w:r>
        <w:rPr>
          <w:rFonts w:ascii="標楷體" w:eastAsia="標楷體" w:hAnsi="標楷體" w:cs="Tahoma"/>
          <w:color w:val="333333"/>
          <w:shd w:val="clear" w:color="auto" w:fill="FFFFFF"/>
        </w:rPr>
        <w:t>〈嘉義縣戲曲</w:t>
      </w:r>
      <w:r>
        <w:rPr>
          <w:rFonts w:ascii="標楷體" w:eastAsia="標楷體" w:hAnsi="標楷體" w:cs="Tahoma"/>
          <w:color w:val="333333"/>
          <w:shd w:val="clear" w:color="auto" w:fill="FFFFFF"/>
        </w:rPr>
        <w:t>音樂資源〉、</w:t>
      </w:r>
      <w:r>
        <w:rPr>
          <w:rFonts w:ascii="標楷體" w:eastAsia="標楷體" w:hAnsi="標楷體" w:cs="Tahoma"/>
          <w:color w:val="333333"/>
          <w:shd w:val="clear" w:color="auto" w:fill="FFFFFF"/>
        </w:rPr>
        <w:t>1996-1997</w:t>
      </w:r>
      <w:r>
        <w:rPr>
          <w:rFonts w:ascii="標楷體" w:eastAsia="標楷體" w:hAnsi="標楷體" w:cs="Tahoma"/>
          <w:color w:val="333333"/>
          <w:shd w:val="clear" w:color="auto" w:fill="FFFFFF"/>
        </w:rPr>
        <w:t>〈閩臺戲曲關係〉、</w:t>
      </w:r>
      <w:r>
        <w:rPr>
          <w:rFonts w:ascii="標楷體" w:eastAsia="標楷體" w:hAnsi="標楷體" w:cs="Tahoma"/>
          <w:color w:val="333333"/>
          <w:shd w:val="clear" w:color="auto" w:fill="FFFFFF"/>
        </w:rPr>
        <w:t>1998-1999</w:t>
      </w:r>
      <w:r>
        <w:rPr>
          <w:rFonts w:ascii="標楷體" w:eastAsia="標楷體" w:hAnsi="標楷體" w:cs="Tahoma"/>
          <w:color w:val="333333"/>
          <w:shd w:val="clear" w:color="auto" w:fill="FFFFFF"/>
        </w:rPr>
        <w:t>〈新營竹馬陣〉、</w:t>
      </w:r>
      <w:r>
        <w:rPr>
          <w:rFonts w:ascii="標楷體" w:eastAsia="標楷體" w:hAnsi="標楷體" w:cs="Tahoma"/>
          <w:color w:val="333333"/>
          <w:shd w:val="clear" w:color="auto" w:fill="FFFFFF"/>
        </w:rPr>
        <w:t>1999-2000</w:t>
      </w:r>
      <w:r>
        <w:rPr>
          <w:rFonts w:ascii="標楷體" w:eastAsia="標楷體" w:hAnsi="標楷體" w:cs="Tahoma"/>
          <w:color w:val="333333"/>
          <w:shd w:val="clear" w:color="auto" w:fill="FFFFFF"/>
        </w:rPr>
        <w:t>〈六甲鄉車鼓陣與車鼓戲〉、</w:t>
      </w:r>
      <w:r>
        <w:rPr>
          <w:rFonts w:ascii="標楷體" w:eastAsia="標楷體" w:hAnsi="標楷體" w:cs="Tahoma"/>
          <w:color w:val="333333"/>
          <w:shd w:val="clear" w:color="auto" w:fill="FFFFFF"/>
        </w:rPr>
        <w:t>2001-2002</w:t>
      </w:r>
      <w:r>
        <w:rPr>
          <w:rFonts w:ascii="標楷體" w:eastAsia="標楷體" w:hAnsi="標楷體" w:cs="Tahoma"/>
          <w:color w:val="333333"/>
          <w:shd w:val="clear" w:color="auto" w:fill="FFFFFF"/>
        </w:rPr>
        <w:t>〈臺南縣車鼓陣〉、</w:t>
      </w:r>
      <w:r>
        <w:rPr>
          <w:rFonts w:ascii="標楷體" w:eastAsia="標楷體" w:hAnsi="標楷體" w:cs="Tahoma"/>
          <w:color w:val="333333"/>
          <w:shd w:val="clear" w:color="auto" w:fill="FFFFFF"/>
        </w:rPr>
        <w:t>2009-2010</w:t>
      </w:r>
      <w:r>
        <w:rPr>
          <w:rFonts w:ascii="標楷體" w:eastAsia="標楷體" w:hAnsi="標楷體" w:cs="Tahoma"/>
          <w:color w:val="333333"/>
          <w:shd w:val="clear" w:color="auto" w:fill="FFFFFF"/>
        </w:rPr>
        <w:t>〈高雄地區車鼓陣〉等調查研究計畫、</w:t>
      </w:r>
      <w:r>
        <w:rPr>
          <w:rFonts w:ascii="標楷體" w:eastAsia="標楷體" w:hAnsi="標楷體" w:cs="Tahoma"/>
          <w:color w:val="333333"/>
          <w:shd w:val="clear" w:color="auto" w:fill="FFFFFF"/>
        </w:rPr>
        <w:t>2016</w:t>
      </w:r>
      <w:r>
        <w:rPr>
          <w:rFonts w:ascii="標楷體" w:eastAsia="標楷體" w:hAnsi="標楷體" w:cs="Tahoma"/>
          <w:color w:val="333333"/>
          <w:shd w:val="clear" w:color="auto" w:fill="FFFFFF"/>
        </w:rPr>
        <w:t>〈臺南市小戲類藝陣調查及影音數位典藏計畫〉、</w:t>
      </w:r>
      <w:r>
        <w:rPr>
          <w:rFonts w:ascii="標楷體" w:eastAsia="標楷體" w:hAnsi="標楷體" w:cs="Tahoma"/>
          <w:color w:val="333333"/>
          <w:shd w:val="clear" w:color="auto" w:fill="FFFFFF"/>
        </w:rPr>
        <w:t>2017</w:t>
      </w:r>
      <w:r>
        <w:rPr>
          <w:rFonts w:ascii="標楷體" w:eastAsia="標楷體" w:hAnsi="標楷體" w:cs="Tahoma"/>
          <w:color w:val="333333"/>
          <w:shd w:val="clear" w:color="auto" w:fill="FFFFFF"/>
        </w:rPr>
        <w:t>〈臺南市歌舞類藝陣調查及影音數位典藏計畫〉、</w:t>
      </w:r>
      <w:r>
        <w:rPr>
          <w:rFonts w:ascii="標楷體" w:eastAsia="標楷體" w:hAnsi="標楷體" w:cs="Tahoma"/>
          <w:color w:val="333333"/>
          <w:shd w:val="clear" w:color="auto" w:fill="FFFFFF"/>
        </w:rPr>
        <w:t>2018</w:t>
      </w:r>
      <w:r>
        <w:rPr>
          <w:rFonts w:ascii="標楷體" w:eastAsia="標楷體" w:hAnsi="標楷體" w:cs="Tahoma"/>
          <w:color w:val="333333"/>
          <w:shd w:val="clear" w:color="auto" w:fill="FFFFFF"/>
        </w:rPr>
        <w:t>〈臺南市牽亡歌陣調查及影音數位典藏計畫〉。</w:t>
      </w:r>
    </w:p>
    <w:p w:rsidR="008F6B91" w:rsidRDefault="001732D9">
      <w:pPr>
        <w:snapToGrid w:val="0"/>
        <w:ind w:left="447" w:hanging="447"/>
      </w:pPr>
      <w:r>
        <w:rPr>
          <w:rFonts w:ascii="標楷體" w:eastAsia="標楷體" w:hAnsi="標楷體"/>
          <w:b/>
        </w:rPr>
        <w:t>七、經費來源與概算</w:t>
      </w:r>
      <w:r>
        <w:rPr>
          <w:rFonts w:ascii="標楷體" w:eastAsia="標楷體" w:hAnsi="標楷體"/>
        </w:rPr>
        <w:t>：</w:t>
      </w:r>
      <w:r>
        <w:rPr>
          <w:rFonts w:ascii="Arial" w:eastAsia="標楷體" w:hAnsi="Arial" w:cs="Arial"/>
          <w:kern w:val="0"/>
        </w:rPr>
        <w:t>教育部國民及學前教育署補助辦理十二年國民基本教育精進</w:t>
      </w:r>
      <w:r>
        <w:rPr>
          <w:rFonts w:ascii="標楷體" w:eastAsia="標楷體" w:hAnsi="標楷體" w:cs="Arial"/>
        </w:rPr>
        <w:t>國民中學及國民小學</w:t>
      </w:r>
      <w:r>
        <w:rPr>
          <w:rFonts w:ascii="Arial" w:eastAsia="標楷體" w:hAnsi="Arial" w:cs="Arial"/>
          <w:kern w:val="0"/>
        </w:rPr>
        <w:t>教學品質計畫經費。</w:t>
      </w:r>
    </w:p>
    <w:p w:rsidR="008F6B91" w:rsidRDefault="001732D9">
      <w:pPr>
        <w:snapToGrid w:val="0"/>
      </w:pPr>
      <w:r>
        <w:rPr>
          <w:rFonts w:ascii="標楷體" w:eastAsia="標楷體" w:hAnsi="標楷體"/>
          <w:b/>
        </w:rPr>
        <w:t>八、成效評估之實施</w:t>
      </w:r>
      <w:r>
        <w:rPr>
          <w:rFonts w:ascii="標楷體" w:eastAsia="標楷體" w:hAnsi="標楷體"/>
        </w:rPr>
        <w:t>：</w:t>
      </w:r>
    </w:p>
    <w:p w:rsidR="008F6B91" w:rsidRDefault="001732D9">
      <w:pPr>
        <w:spacing w:line="380" w:lineRule="exact"/>
        <w:ind w:left="720" w:hanging="720"/>
      </w:pPr>
      <w:r>
        <w:rPr>
          <w:rFonts w:ascii="標楷體" w:eastAsia="標楷體" w:hAnsi="標楷體"/>
        </w:rPr>
        <w:t>（一）</w:t>
      </w:r>
      <w:r>
        <w:rPr>
          <w:rFonts w:ascii="標楷體" w:eastAsia="標楷體" w:hAnsi="標楷體"/>
        </w:rPr>
        <w:t>觀察法：以實際觀察與紀錄，</w:t>
      </w:r>
      <w:r>
        <w:rPr>
          <w:rFonts w:ascii="標楷體" w:eastAsia="標楷體" w:hAnsi="標楷體" w:cs="Arial"/>
          <w:kern w:val="0"/>
        </w:rPr>
        <w:t>了解教師</w:t>
      </w:r>
      <w:r>
        <w:rPr>
          <w:rFonts w:ascii="標楷體" w:eastAsia="標楷體" w:hAnsi="標楷體" w:cs="Arial"/>
        </w:rPr>
        <w:t>對</w:t>
      </w:r>
      <w:r>
        <w:rPr>
          <w:rFonts w:ascii="標楷體" w:eastAsia="標楷體" w:hAnsi="標楷體"/>
        </w:rPr>
        <w:t>音樂與文學</w:t>
      </w:r>
      <w:r>
        <w:rPr>
          <w:rFonts w:ascii="標楷體" w:eastAsia="標楷體" w:hAnsi="標楷體" w:cs="Arial"/>
        </w:rPr>
        <w:t>的跨域課程設計的運用</w:t>
      </w:r>
      <w:r>
        <w:rPr>
          <w:rFonts w:ascii="標楷體" w:eastAsia="標楷體" w:hAnsi="標楷體" w:cs="Arial"/>
          <w:kern w:val="0"/>
        </w:rPr>
        <w:t>。</w:t>
      </w:r>
    </w:p>
    <w:p w:rsidR="008F6B91" w:rsidRDefault="001732D9">
      <w:pPr>
        <w:spacing w:line="380" w:lineRule="exact"/>
        <w:ind w:left="720" w:hanging="720"/>
      </w:pPr>
      <w:r>
        <w:rPr>
          <w:rFonts w:ascii="標楷體" w:eastAsia="標楷體" w:hAnsi="標楷體"/>
        </w:rPr>
        <w:t>（二）問卷調查法：了解教師對音樂與文學</w:t>
      </w:r>
      <w:r>
        <w:rPr>
          <w:rFonts w:ascii="標楷體" w:eastAsia="標楷體" w:hAnsi="標楷體" w:cs="Arial"/>
        </w:rPr>
        <w:t>的跨域課程設計專業知能</w:t>
      </w:r>
      <w:r>
        <w:rPr>
          <w:rFonts w:ascii="標楷體" w:eastAsia="標楷體" w:hAnsi="標楷體"/>
        </w:rPr>
        <w:t>。</w:t>
      </w:r>
    </w:p>
    <w:p w:rsidR="008F6B91" w:rsidRDefault="001732D9">
      <w:pPr>
        <w:pStyle w:val="-11"/>
        <w:snapToGrid w:val="0"/>
        <w:ind w:left="0"/>
      </w:pPr>
      <w:r>
        <w:rPr>
          <w:rFonts w:ascii="標楷體" w:eastAsia="標楷體" w:hAnsi="標楷體" w:cs="Arial"/>
          <w:b/>
        </w:rPr>
        <w:t>九、預期成效</w:t>
      </w:r>
      <w:r>
        <w:rPr>
          <w:rFonts w:ascii="標楷體" w:eastAsia="標楷體" w:hAnsi="標楷體" w:cs="Arial"/>
        </w:rPr>
        <w:t>：</w:t>
      </w:r>
    </w:p>
    <w:p w:rsidR="008F6B91" w:rsidRDefault="001732D9">
      <w:pPr>
        <w:pStyle w:val="-11"/>
        <w:snapToGrid w:val="0"/>
        <w:ind w:left="0"/>
        <w:jc w:val="both"/>
        <w:rPr>
          <w:rFonts w:ascii="標楷體" w:eastAsia="標楷體" w:hAnsi="標楷體" w:cs="Arial"/>
        </w:rPr>
      </w:pPr>
      <w:r>
        <w:rPr>
          <w:rFonts w:ascii="標楷體" w:eastAsia="標楷體" w:hAnsi="標楷體" w:cs="Arial"/>
        </w:rPr>
        <w:t>(</w:t>
      </w:r>
      <w:r>
        <w:rPr>
          <w:rFonts w:ascii="標楷體" w:eastAsia="標楷體" w:hAnsi="標楷體" w:cs="Arial"/>
        </w:rPr>
        <w:t>一</w:t>
      </w:r>
      <w:r>
        <w:rPr>
          <w:rFonts w:ascii="標楷體" w:eastAsia="標楷體" w:hAnsi="標楷體" w:cs="Arial"/>
        </w:rPr>
        <w:t>)</w:t>
      </w:r>
      <w:r>
        <w:rPr>
          <w:rFonts w:ascii="標楷體" w:eastAsia="標楷體" w:hAnsi="標楷體" w:cs="Arial"/>
        </w:rPr>
        <w:t>精進本市國中藝術教師之素養導向教學專業能力，提升課程設計專業知能。</w:t>
      </w:r>
    </w:p>
    <w:p w:rsidR="008F6B91" w:rsidRDefault="001732D9">
      <w:pPr>
        <w:pStyle w:val="-11"/>
        <w:snapToGrid w:val="0"/>
        <w:ind w:left="0"/>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協助教師了解台灣近代以來的音樂與文學、生活的結合、社會文化的關係及其影響力。</w:t>
      </w:r>
    </w:p>
    <w:p w:rsidR="008F6B91" w:rsidRDefault="001732D9">
      <w:pPr>
        <w:pStyle w:val="-11"/>
        <w:snapToGrid w:val="0"/>
        <w:ind w:left="0"/>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以流行音樂為例，談音樂與文學之課程設計，做為素養導向課程，落實課堂操作，了解台灣音樂之文化現象以及內涵及特色。</w:t>
      </w:r>
    </w:p>
    <w:p w:rsidR="008F6B91" w:rsidRDefault="008F6B91">
      <w:pPr>
        <w:pStyle w:val="-11"/>
        <w:snapToGrid w:val="0"/>
        <w:ind w:left="0"/>
        <w:jc w:val="both"/>
        <w:rPr>
          <w:rFonts w:ascii="標楷體" w:eastAsia="標楷體" w:hAnsi="標楷體"/>
        </w:rPr>
      </w:pPr>
    </w:p>
    <w:p w:rsidR="008F6B91" w:rsidRDefault="001732D9">
      <w:pPr>
        <w:spacing w:line="360" w:lineRule="auto"/>
        <w:jc w:val="both"/>
      </w:pPr>
      <w:r>
        <w:rPr>
          <w:rFonts w:ascii="MS Mincho" w:eastAsia="MS Mincho" w:hAnsi="MS Mincho" w:cs="MS Mincho"/>
          <w:b/>
        </w:rPr>
        <w:t>十、聯絡人</w:t>
      </w:r>
    </w:p>
    <w:p w:rsidR="008F6B91" w:rsidRDefault="001732D9">
      <w:pPr>
        <w:spacing w:line="0" w:lineRule="atLeast"/>
        <w:jc w:val="both"/>
      </w:pPr>
      <w:r>
        <w:rPr>
          <w:rFonts w:ascii="MS Mincho" w:eastAsia="MS Mincho" w:hAnsi="MS Mincho" w:cs="MS Mincho"/>
        </w:rPr>
        <w:t>本案聯絡人：東山國中</w:t>
      </w:r>
      <w:r>
        <w:rPr>
          <w:rFonts w:ascii="標楷體" w:eastAsia="標楷體" w:hAnsi="標楷體" w:cs="BiauKai"/>
        </w:rPr>
        <w:t xml:space="preserve"> </w:t>
      </w:r>
      <w:r>
        <w:rPr>
          <w:rFonts w:ascii="MS Mincho" w:eastAsia="MS Mincho" w:hAnsi="MS Mincho" w:cs="MS Mincho"/>
        </w:rPr>
        <w:t>林武成</w:t>
      </w:r>
      <w:r>
        <w:rPr>
          <w:rFonts w:ascii="標楷體" w:eastAsia="標楷體" w:hAnsi="標楷體" w:cs="BiauKai"/>
        </w:rPr>
        <w:t xml:space="preserve"> </w:t>
      </w:r>
      <w:r>
        <w:rPr>
          <w:rFonts w:ascii="MS Mincho" w:eastAsia="MS Mincho" w:hAnsi="MS Mincho" w:cs="MS Mincho"/>
        </w:rPr>
        <w:t>聯絡電話：</w:t>
      </w:r>
      <w:r>
        <w:rPr>
          <w:rFonts w:ascii="標楷體" w:eastAsia="標楷體" w:hAnsi="標楷體" w:cs="BiauKai"/>
        </w:rPr>
        <w:t>06-6802175</w:t>
      </w:r>
      <w:r>
        <w:rPr>
          <w:rFonts w:ascii="MS Mincho" w:eastAsia="MS Mincho" w:hAnsi="MS Mincho" w:cs="MS Mincho"/>
        </w:rPr>
        <w:t>轉</w:t>
      </w:r>
      <w:r>
        <w:rPr>
          <w:rFonts w:ascii="標楷體" w:eastAsia="標楷體" w:hAnsi="標楷體" w:cs="BiauKai"/>
        </w:rPr>
        <w:t>26</w:t>
      </w:r>
    </w:p>
    <w:p w:rsidR="008F6B91" w:rsidRDefault="001732D9">
      <w:pPr>
        <w:spacing w:line="0" w:lineRule="atLeast"/>
        <w:jc w:val="both"/>
      </w:pPr>
      <w:r>
        <w:rPr>
          <w:rFonts w:ascii="MS Mincho" w:eastAsia="MS Mincho" w:hAnsi="MS Mincho" w:cs="MS Mincho"/>
        </w:rPr>
        <w:t>電子</w:t>
      </w:r>
      <w:r>
        <w:rPr>
          <w:rFonts w:ascii="MS Mincho" w:eastAsia="MS Mincho" w:hAnsi="MS Mincho" w:cs="MS Mincho"/>
        </w:rPr>
        <w:t>郵件：</w:t>
      </w:r>
      <w:r>
        <w:rPr>
          <w:rFonts w:ascii="Kaiti TC" w:eastAsia="Kaiti TC" w:hAnsi="Kaiti TC"/>
        </w:rPr>
        <w:t>artwucheng@gmail.com</w:t>
      </w:r>
    </w:p>
    <w:p w:rsidR="008F6B91" w:rsidRDefault="008F6B91">
      <w:pPr>
        <w:pStyle w:val="-11"/>
        <w:snapToGrid w:val="0"/>
        <w:ind w:left="0"/>
        <w:jc w:val="both"/>
        <w:rPr>
          <w:rFonts w:ascii="標楷體" w:eastAsia="標楷體" w:hAnsi="標楷體"/>
        </w:rPr>
      </w:pPr>
    </w:p>
    <w:sectPr w:rsidR="008F6B91">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D9" w:rsidRDefault="001732D9">
      <w:r>
        <w:separator/>
      </w:r>
    </w:p>
  </w:endnote>
  <w:endnote w:type="continuationSeparator" w:id="0">
    <w:p w:rsidR="001732D9" w:rsidRDefault="0017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iauKai">
    <w:charset w:val="00"/>
    <w:family w:val="auto"/>
    <w:pitch w:val="variable"/>
  </w:font>
  <w:font w:name="Gungsuh">
    <w:charset w:val="00"/>
    <w:family w:val="roman"/>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00"/>
    <w:family w:val="modern"/>
    <w:pitch w:val="fixed"/>
  </w:font>
  <w:font w:name="Kaiti TC">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D9" w:rsidRDefault="001732D9">
      <w:r>
        <w:rPr>
          <w:color w:val="000000"/>
        </w:rPr>
        <w:separator/>
      </w:r>
    </w:p>
  </w:footnote>
  <w:footnote w:type="continuationSeparator" w:id="0">
    <w:p w:rsidR="001732D9" w:rsidRDefault="00173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F6B91"/>
    <w:rsid w:val="001732D9"/>
    <w:rsid w:val="008F6B91"/>
    <w:rsid w:val="00D76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C6F77-EBDC-467E-AC1C-BE96B4C1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ascii="Times New Roman" w:eastAsia="新細明體" w:hAnsi="Times New Roman" w:cs="Times New Roman"/>
      <w:sz w:val="20"/>
      <w:szCs w:val="20"/>
    </w:rPr>
  </w:style>
  <w:style w:type="character" w:customStyle="1" w:styleId="10">
    <w:name w:val="標題 1 字元"/>
    <w:rPr>
      <w:rFonts w:ascii="新細明體" w:eastAsia="新細明體" w:hAnsi="新細明體" w:cs="新細明體"/>
      <w:b/>
      <w:bCs/>
      <w:kern w:val="3"/>
      <w:sz w:val="48"/>
      <w:szCs w:val="48"/>
    </w:rPr>
  </w:style>
  <w:style w:type="paragraph" w:customStyle="1" w:styleId="-11">
    <w:name w:val="彩色清單 - 輔色 11"/>
    <w:basedOn w:val="a"/>
    <w:pPr>
      <w:ind w:left="480"/>
    </w:pPr>
    <w:rPr>
      <w:rFonts w:ascii="Calibri" w:hAnsi="Calibri"/>
      <w:szCs w:val="22"/>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Peri Chen</dc:creator>
  <cp:lastModifiedBy>Windows 使用者</cp:lastModifiedBy>
  <cp:revision>2</cp:revision>
  <cp:lastPrinted>2019-09-30T00:13:00Z</cp:lastPrinted>
  <dcterms:created xsi:type="dcterms:W3CDTF">2019-10-01T11:10:00Z</dcterms:created>
  <dcterms:modified xsi:type="dcterms:W3CDTF">2019-10-01T11:10:00Z</dcterms:modified>
</cp:coreProperties>
</file>