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exact" w:line="360"/>
        <w:ind w:firstLine="280"/>
        <w:jc w:val="center"/>
        <w:rPr>
          <w:rFonts w:ascii="微軟正黑體" w:hAnsi="微軟正黑體" w:eastAsia="微軟正黑體" w:cs="BiauKai"/>
          <w:sz w:val="28"/>
          <w:szCs w:val="28"/>
          <w:u w:val="single"/>
        </w:rPr>
      </w:pPr>
      <w:r>
        <w:rPr>
          <w:rFonts w:ascii="微軟正黑體" w:hAnsi="微軟正黑體" w:cs="BiauKai" w:eastAsia="微軟正黑體"/>
          <w:sz w:val="28"/>
          <w:szCs w:val="28"/>
          <w:u w:val="single"/>
        </w:rPr>
        <w:t>第</w:t>
      </w:r>
      <w:r>
        <w:rPr>
          <w:rFonts w:eastAsia="微軟正黑體" w:cs="BiauKai" w:ascii="微軟正黑體" w:hAnsi="微軟正黑體"/>
          <w:sz w:val="28"/>
          <w:szCs w:val="28"/>
          <w:u w:val="single"/>
        </w:rPr>
        <w:t>13</w:t>
      </w:r>
      <w:r>
        <w:rPr>
          <w:rFonts w:ascii="微軟正黑體" w:hAnsi="微軟正黑體" w:cs="BiauKai" w:eastAsia="微軟正黑體"/>
          <w:sz w:val="28"/>
          <w:szCs w:val="28"/>
          <w:u w:val="single"/>
        </w:rPr>
        <w:t>屆柚城盃三對三籃球賽競賽規程</w:t>
      </w:r>
    </w:p>
    <w:p>
      <w:pPr>
        <w:pStyle w:val="Style19"/>
        <w:numPr>
          <w:ilvl w:val="0"/>
          <w:numId w:val="2"/>
        </w:numPr>
        <w:spacing w:lineRule="exact" w:line="360"/>
        <w:ind w:left="567" w:hanging="567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宗旨：為了推廣運動風氣、鼓勵優質的假日休閒生活，並培養積極奮發的生活態度。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二、指導單位：台南市政府、臺南市教育局。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三、主辦單位：住商不動產麻豆店、台南市紅樹林公益促進會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四、承辦單位：台南市太子國民中學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</w:rPr>
        <w:t>五、協辦單位：台南市教育局體育處、</w:t>
      </w:r>
      <w:r>
        <w:rPr>
          <w:rStyle w:val="Style8"/>
          <w:rFonts w:ascii="微軟正黑體" w:hAnsi="微軟正黑體" w:cs="BiauKai" w:eastAsia="微軟正黑體"/>
          <w:color w:val="000000"/>
        </w:rPr>
        <w:t>國立曾文高級農工職業學校、台南市麻豆國民中學、台南市黎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  <w:color w:val="000000"/>
        </w:rPr>
        <w:t xml:space="preserve">                           </w:t>
      </w:r>
      <w:r>
        <w:rPr>
          <w:rStyle w:val="Style8"/>
          <w:rFonts w:ascii="微軟正黑體" w:hAnsi="微軟正黑體" w:cs="BiauKai" w:eastAsia="微軟正黑體"/>
          <w:color w:val="000000"/>
        </w:rPr>
        <w:t>明高級中學、</w:t>
      </w:r>
      <w:r>
        <w:rPr>
          <w:rStyle w:val="Style8"/>
          <w:rFonts w:ascii="微軟正黑體" w:hAnsi="微軟正黑體" w:cs="BiauKai" w:eastAsia="微軟正黑體"/>
        </w:rPr>
        <w:t>台南市東興國民小學、台南市南瀛獅子會、台南市永新國際同濟會</w:t>
      </w:r>
      <w:r>
        <w:rPr>
          <w:rStyle w:val="Style8"/>
          <w:rFonts w:ascii="微軟正黑體" w:hAnsi="微軟正黑體" w:cs="BiauKai" w:eastAsia="微軟正黑體"/>
          <w:color w:val="000000"/>
        </w:rPr>
        <w:t>、</w:t>
      </w:r>
      <w:r>
        <w:rPr>
          <w:rStyle w:val="Style8"/>
          <w:rFonts w:ascii="微軟正黑體" w:hAnsi="微軟正黑體" w:cs="BiauKai" w:eastAsia="微軟正黑體"/>
        </w:rPr>
        <w:t>台南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                       </w:t>
      </w:r>
      <w:r>
        <w:rPr>
          <w:rFonts w:ascii="微軟正黑體" w:hAnsi="微軟正黑體" w:cs="BiauKai" w:eastAsia="微軟正黑體"/>
        </w:rPr>
        <w:t>市麻豆扶輪社、台南市衛生局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六、比賽日期：民國</w:t>
      </w:r>
      <w:r>
        <w:rPr>
          <w:rFonts w:eastAsia="微軟正黑體" w:cs="BiauKai" w:ascii="微軟正黑體" w:hAnsi="微軟正黑體"/>
        </w:rPr>
        <w:t>110</w:t>
      </w:r>
      <w:r>
        <w:rPr>
          <w:rFonts w:ascii="微軟正黑體" w:hAnsi="微軟正黑體" w:cs="BiauKai" w:eastAsia="微軟正黑體"/>
        </w:rPr>
        <w:t>年</w:t>
      </w:r>
      <w:r>
        <w:rPr>
          <w:rFonts w:eastAsia="微軟正黑體" w:cs="BiauKai" w:ascii="微軟正黑體" w:hAnsi="微軟正黑體"/>
        </w:rPr>
        <w:t>01</w:t>
      </w:r>
      <w:r>
        <w:rPr>
          <w:rFonts w:ascii="微軟正黑體" w:hAnsi="微軟正黑體" w:cs="BiauKai" w:eastAsia="微軟正黑體"/>
        </w:rPr>
        <w:t>月</w:t>
      </w:r>
      <w:r>
        <w:rPr>
          <w:rFonts w:eastAsia="微軟正黑體" w:cs="BiauKai" w:ascii="微軟正黑體" w:hAnsi="微軟正黑體"/>
        </w:rPr>
        <w:t>31</w:t>
      </w:r>
      <w:r>
        <w:rPr>
          <w:rFonts w:ascii="微軟正黑體" w:hAnsi="微軟正黑體" w:cs="BiauKai" w:eastAsia="微軟正黑體"/>
        </w:rPr>
        <w:t>日【星期日】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七、比賽地點：台南市麻豆區曾文農工北側戶外籃球場(可由五王廟斜對面入口進入)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八、參賽組別暨資格：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一)社男組：公開報名。須備身分證、駕照或健保卡（須貼相片），以備查驗。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二)大專暨公教機關組：公開報名。須備身分證、駕照或健保卡（須貼相片）。公教人員須另行提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                      </w:t>
      </w:r>
      <w:r>
        <w:rPr>
          <w:rFonts w:ascii="微軟正黑體" w:hAnsi="微軟正黑體" w:cs="BiauKai" w:eastAsia="微軟正黑體"/>
        </w:rPr>
        <w:t>供</w:t>
      </w:r>
      <w:r>
        <w:rPr>
          <w:rFonts w:eastAsia="微軟正黑體" w:cs="BiauKai" w:ascii="微軟正黑體" w:hAnsi="微軟正黑體"/>
        </w:rPr>
        <w:t>6</w:t>
      </w:r>
      <w:r>
        <w:rPr>
          <w:rFonts w:ascii="微軟正黑體" w:hAnsi="微軟正黑體" w:cs="BiauKai" w:eastAsia="微軟正黑體"/>
        </w:rPr>
        <w:t>個月內開立之在職證明或足以證明在職身分之資料，以備查驗。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三)女子組：公開報名。須備身分證、駕照或健保卡（須貼相片），以備查驗。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四)高男組：公開報名。須備學生證（蓋</w:t>
      </w:r>
      <w:r>
        <w:rPr>
          <w:rFonts w:eastAsia="微軟正黑體" w:cs="BiauKai" w:ascii="微軟正黑體" w:hAnsi="微軟正黑體"/>
        </w:rPr>
        <w:t>109</w:t>
      </w:r>
      <w:r>
        <w:rPr>
          <w:rFonts w:ascii="微軟正黑體" w:hAnsi="微軟正黑體" w:cs="BiauKai" w:eastAsia="微軟正黑體"/>
        </w:rPr>
        <w:t>學年度上學期之註冊章），以備查驗。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五)國男組：公開報名。須備學生證（蓋</w:t>
      </w:r>
      <w:r>
        <w:rPr>
          <w:rFonts w:eastAsia="微軟正黑體" w:cs="BiauKai" w:ascii="微軟正黑體" w:hAnsi="微軟正黑體"/>
        </w:rPr>
        <w:t>109</w:t>
      </w:r>
      <w:r>
        <w:rPr>
          <w:rFonts w:ascii="微軟正黑體" w:hAnsi="微軟正黑體" w:cs="BiauKai" w:eastAsia="微軟正黑體"/>
        </w:rPr>
        <w:t>學年度上學期之註冊章），以備查驗。</w:t>
      </w:r>
    </w:p>
    <w:p>
      <w:pPr>
        <w:pStyle w:val="Style15"/>
        <w:tabs>
          <w:tab w:val="left" w:pos="426" w:leader="none"/>
        </w:tabs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六)國小組：公開報名。須備學生證明（貼相片），或健保卡（須貼相片）以備查驗。</w:t>
      </w:r>
    </w:p>
    <w:p>
      <w:pPr>
        <w:pStyle w:val="Style15"/>
        <w:spacing w:lineRule="exact" w:line="360"/>
        <w:ind w:left="2160" w:hanging="21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九、報名暨繳費方式： </w:t>
      </w:r>
    </w:p>
    <w:p>
      <w:pPr>
        <w:pStyle w:val="Style15"/>
        <w:spacing w:lineRule="exact" w:line="360"/>
        <w:ind w:left="2160" w:hanging="21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一)每隊報名最多</w:t>
      </w:r>
      <w:r>
        <w:rPr>
          <w:rFonts w:eastAsia="微軟正黑體" w:cs="BiauKai" w:ascii="微軟正黑體" w:hAnsi="微軟正黑體"/>
        </w:rPr>
        <w:t>4</w:t>
      </w:r>
      <w:r>
        <w:rPr>
          <w:rFonts w:ascii="微軟正黑體" w:hAnsi="微軟正黑體" w:cs="BiauKai" w:eastAsia="微軟正黑體"/>
        </w:rPr>
        <w:t>人。報名即日起至</w:t>
      </w:r>
      <w:r>
        <w:rPr>
          <w:rFonts w:eastAsia="微軟正黑體" w:cs="BiauKai" w:ascii="微軟正黑體" w:hAnsi="微軟正黑體"/>
        </w:rPr>
        <w:t>110</w:t>
      </w:r>
      <w:r>
        <w:rPr>
          <w:rFonts w:ascii="微軟正黑體" w:hAnsi="微軟正黑體" w:cs="BiauKai" w:eastAsia="微軟正黑體"/>
        </w:rPr>
        <w:t>年</w:t>
      </w:r>
      <w:r>
        <w:rPr>
          <w:rFonts w:eastAsia="微軟正黑體" w:cs="BiauKai" w:ascii="微軟正黑體" w:hAnsi="微軟正黑體"/>
        </w:rPr>
        <w:t>01</w:t>
      </w:r>
      <w:r>
        <w:rPr>
          <w:rFonts w:ascii="微軟正黑體" w:hAnsi="微軟正黑體" w:cs="BiauKai" w:eastAsia="微軟正黑體"/>
        </w:rPr>
        <w:t>月</w:t>
      </w:r>
      <w:r>
        <w:rPr>
          <w:rFonts w:eastAsia="微軟正黑體" w:cs="BiauKai" w:ascii="微軟正黑體" w:hAnsi="微軟正黑體"/>
        </w:rPr>
        <w:t>17</w:t>
      </w:r>
      <w:r>
        <w:rPr>
          <w:rFonts w:ascii="微軟正黑體" w:hAnsi="微軟正黑體" w:cs="BiauKai" w:eastAsia="微軟正黑體"/>
        </w:rPr>
        <w:t>日（星期日）截止。報名費每隊</w:t>
      </w:r>
      <w:r>
        <w:rPr>
          <w:rFonts w:eastAsia="微軟正黑體" w:cs="BiauKai" w:ascii="微軟正黑體" w:hAnsi="微軟正黑體"/>
        </w:rPr>
        <w:t>300</w:t>
      </w:r>
      <w:r>
        <w:rPr>
          <w:rFonts w:ascii="微軟正黑體" w:hAnsi="微軟正黑體" w:cs="BiauKai" w:eastAsia="微軟正黑體"/>
        </w:rPr>
        <w:t>元整。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  <w:b/>
        </w:rPr>
        <w:t xml:space="preserve">    </w:t>
      </w:r>
      <w:r>
        <w:rPr>
          <w:rStyle w:val="Style8"/>
          <w:rFonts w:ascii="微軟正黑體" w:hAnsi="微軟正黑體" w:cs="BiauKai" w:eastAsia="微軟正黑體"/>
        </w:rPr>
        <w:t>(</w:t>
      </w:r>
      <w:r>
        <w:rPr>
          <w:rStyle w:val="Style8"/>
          <w:rFonts w:ascii="微軟正黑體" w:hAnsi="微軟正黑體" w:cs="BiauKai" w:eastAsia="微軟正黑體"/>
        </w:rPr>
        <w:t>二)本活動採網路報名，請上台南市東興國小</w:t>
      </w:r>
      <w:hyperlink r:id="rId2" w:tgtFrame="_top">
        <w:r>
          <w:rPr>
            <w:rStyle w:val="Style8"/>
            <w:rFonts w:eastAsia="微軟正黑體" w:cs="BiauKai" w:ascii="微軟正黑體" w:hAnsi="微軟正黑體"/>
            <w:color w:val="D8543D"/>
            <w:u w:val="single"/>
          </w:rPr>
          <w:t>http://www.thes.tn.edu.tw/</w:t>
        </w:r>
      </w:hyperlink>
      <w:r>
        <w:rPr>
          <w:rStyle w:val="Style8"/>
          <w:rFonts w:ascii="微軟正黑體" w:hAnsi="微軟正黑體" w:cs="BiauKai" w:eastAsia="微軟正黑體"/>
        </w:rPr>
        <w:t>。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</w:rPr>
        <w:t xml:space="preserve">          </w:t>
      </w:r>
      <w:r>
        <w:rPr>
          <w:rStyle w:val="Style8"/>
          <w:rFonts w:ascii="微軟正黑體" w:hAnsi="微軟正黑體" w:cs="BiauKai" w:eastAsia="微軟正黑體"/>
        </w:rPr>
        <w:t>或</w:t>
      </w:r>
      <w:hyperlink r:id="rId3" w:tgtFrame="_top">
        <w:r>
          <w:rPr>
            <w:rStyle w:val="Style11"/>
            <w:rFonts w:eastAsia="微軟正黑體" w:cs="BiauKai" w:ascii="微軟正黑體" w:hAnsi="微軟正黑體"/>
          </w:rPr>
          <w:t>https://www.beclass.com/rid=2443ea65fbe83dc2f19b</w:t>
        </w:r>
      </w:hyperlink>
      <w:r>
        <w:rPr>
          <w:rStyle w:val="Style8"/>
          <w:rFonts w:eastAsia="微軟正黑體" w:cs="BiauKai" w:ascii="微軟正黑體" w:hAnsi="微軟正黑體"/>
        </w:rPr>
        <w:t xml:space="preserve">  </w:t>
      </w:r>
      <w:r>
        <w:rPr>
          <w:rStyle w:val="Style8"/>
          <w:rFonts w:ascii="微軟正黑體" w:hAnsi="微軟正黑體" w:cs="BiauKai" w:eastAsia="微軟正黑體"/>
        </w:rPr>
        <w:t>報名。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      </w:t>
      </w:r>
      <w:r>
        <w:rPr>
          <w:rFonts w:ascii="微軟正黑體" w:hAnsi="微軟正黑體" w:cs="BiauKai" w:eastAsia="微軟正黑體"/>
        </w:rPr>
        <w:t>活動問題洽詢：陳志強-</w:t>
      </w:r>
      <w:r>
        <w:rPr>
          <w:rFonts w:eastAsia="微軟正黑體" w:cs="BiauKai" w:ascii="微軟正黑體" w:hAnsi="微軟正黑體"/>
        </w:rPr>
        <w:t>0958013073</w:t>
      </w:r>
      <w:r>
        <w:rPr>
          <w:rFonts w:ascii="微軟正黑體" w:hAnsi="微軟正黑體" w:cs="BiauKai" w:eastAsia="微軟正黑體"/>
        </w:rPr>
        <w:t xml:space="preserve">。 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三)比賽當天現場繳交報名費，若有更換球員需求，請於當天報到時完成球員資料更改。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四)線上報名完畢，請自行於報名系統頁面上方的目前報名人數處檢視報名是否成功。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十、獎勵：除了</w:t>
      </w:r>
      <w:r>
        <w:rPr>
          <w:rFonts w:eastAsia="微軟正黑體" w:cs="BiauKai" w:ascii="微軟正黑體" w:hAnsi="微軟正黑體"/>
        </w:rPr>
        <w:t>3</w:t>
      </w:r>
      <w:r>
        <w:rPr>
          <w:rFonts w:ascii="微軟正黑體" w:hAnsi="微軟正黑體" w:cs="BiauKai" w:eastAsia="微軟正黑體"/>
        </w:rPr>
        <w:t>對</w:t>
      </w:r>
      <w:r>
        <w:rPr>
          <w:rFonts w:eastAsia="微軟正黑體" w:cs="BiauKai" w:ascii="微軟正黑體" w:hAnsi="微軟正黑體"/>
        </w:rPr>
        <w:t>3</w:t>
      </w:r>
      <w:r>
        <w:rPr>
          <w:rFonts w:ascii="微軟正黑體" w:hAnsi="微軟正黑體" w:cs="BiauKai" w:eastAsia="微軟正黑體"/>
        </w:rPr>
        <w:t>鬥牛賽，亦會隨機安排罰球大賽及中場投籃比賽，另行頒發獎品或獎金。</w:t>
      </w:r>
    </w:p>
    <w:tbl>
      <w:tblPr>
        <w:tblW w:w="7974" w:type="dxa"/>
        <w:jc w:val="left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63"/>
        <w:gridCol w:w="4111"/>
      </w:tblGrid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ascii="微軟正黑體" w:hAnsi="微軟正黑體" w:eastAsia="微軟正黑體" w:cs="BiauKai"/>
              </w:rPr>
            </w:pPr>
            <w:r>
              <w:rPr>
                <w:rFonts w:ascii="微軟正黑體" w:hAnsi="微軟正黑體" w:cs="BiauKai" w:eastAsia="微軟正黑體"/>
              </w:rPr>
              <w:t>冠軍：獎金</w:t>
            </w:r>
            <w:r>
              <w:rPr>
                <w:rFonts w:eastAsia="微軟正黑體" w:cs="BiauKai" w:ascii="微軟正黑體" w:hAnsi="微軟正黑體"/>
              </w:rPr>
              <w:t>5000</w:t>
            </w:r>
            <w:r>
              <w:rPr>
                <w:rFonts w:ascii="微軟正黑體" w:hAnsi="微軟正黑體" w:cs="BiauKai" w:eastAsia="微軟正黑體"/>
              </w:rPr>
              <w:t>元、獎牌四面。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ind w:left="155" w:hanging="0"/>
              <w:rPr>
                <w:rFonts w:ascii="微軟正黑體" w:hAnsi="微軟正黑體" w:eastAsia="微軟正黑體" w:cs="BiauKai"/>
              </w:rPr>
            </w:pPr>
            <w:r>
              <w:rPr>
                <w:rFonts w:ascii="微軟正黑體" w:hAnsi="微軟正黑體" w:cs="BiauKai" w:eastAsia="微軟正黑體"/>
              </w:rPr>
              <w:t>亞軍：獎金</w:t>
            </w:r>
            <w:r>
              <w:rPr>
                <w:rFonts w:eastAsia="微軟正黑體" w:cs="BiauKai" w:ascii="微軟正黑體" w:hAnsi="微軟正黑體"/>
              </w:rPr>
              <w:t>4000</w:t>
            </w:r>
            <w:r>
              <w:rPr>
                <w:rFonts w:ascii="微軟正黑體" w:hAnsi="微軟正黑體" w:cs="BiauKai" w:eastAsia="微軟正黑體"/>
              </w:rPr>
              <w:t>元、獎牌四面。</w:t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ascii="微軟正黑體" w:hAnsi="微軟正黑體" w:eastAsia="微軟正黑體" w:cs="BiauKai"/>
              </w:rPr>
            </w:pPr>
            <w:r>
              <w:rPr>
                <w:rFonts w:ascii="微軟正黑體" w:hAnsi="微軟正黑體" w:cs="BiauKai" w:eastAsia="微軟正黑體"/>
              </w:rPr>
              <w:t>季軍：獎金</w:t>
            </w:r>
            <w:r>
              <w:rPr>
                <w:rFonts w:eastAsia="微軟正黑體" w:cs="BiauKai" w:ascii="微軟正黑體" w:hAnsi="微軟正黑體"/>
              </w:rPr>
              <w:t>3000</w:t>
            </w:r>
            <w:r>
              <w:rPr>
                <w:rFonts w:ascii="微軟正黑體" w:hAnsi="微軟正黑體" w:cs="BiauKai" w:eastAsia="微軟正黑體"/>
              </w:rPr>
              <w:t>元、獎牌四面。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ind w:left="155" w:hanging="0"/>
              <w:rPr>
                <w:rFonts w:ascii="微軟正黑體" w:hAnsi="微軟正黑體" w:eastAsia="微軟正黑體" w:cs="BiauKai"/>
              </w:rPr>
            </w:pPr>
            <w:r>
              <w:rPr>
                <w:rFonts w:ascii="微軟正黑體" w:hAnsi="微軟正黑體" w:cs="BiauKai" w:eastAsia="微軟正黑體"/>
              </w:rPr>
              <w:t>殿軍：獎金</w:t>
            </w:r>
            <w:r>
              <w:rPr>
                <w:rFonts w:eastAsia="微軟正黑體" w:cs="BiauKai" w:ascii="微軟正黑體" w:hAnsi="微軟正黑體"/>
              </w:rPr>
              <w:t>1000</w:t>
            </w:r>
            <w:r>
              <w:rPr>
                <w:rFonts w:ascii="微軟正黑體" w:hAnsi="微軟正黑體" w:cs="BiauKai" w:eastAsia="微軟正黑體"/>
              </w:rPr>
              <w:t>元、獎牌四面。</w:t>
            </w:r>
          </w:p>
        </w:tc>
      </w:tr>
    </w:tbl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十一、規則：</w:t>
      </w:r>
    </w:p>
    <w:p>
      <w:pPr>
        <w:pStyle w:val="Style15"/>
        <w:tabs>
          <w:tab w:val="left" w:pos="426" w:leader="none"/>
        </w:tabs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一)本比賽預賽採取</w:t>
      </w:r>
      <w:r>
        <w:rPr>
          <w:rFonts w:eastAsia="微軟正黑體" w:cs="BiauKai" w:ascii="微軟正黑體" w:hAnsi="微軟正黑體"/>
        </w:rPr>
        <w:t>8</w:t>
      </w:r>
      <w:r>
        <w:rPr>
          <w:rFonts w:ascii="微軟正黑體" w:hAnsi="微軟正黑體" w:cs="BiauKai" w:eastAsia="微軟正黑體"/>
        </w:rPr>
        <w:t>分鐘</w:t>
      </w:r>
      <w:r>
        <w:rPr>
          <w:rFonts w:eastAsia="微軟正黑體" w:cs="BiauKai" w:ascii="微軟正黑體" w:hAnsi="微軟正黑體"/>
        </w:rPr>
        <w:t>11</w:t>
      </w:r>
      <w:r>
        <w:rPr>
          <w:rFonts w:ascii="微軟正黑體" w:hAnsi="微軟正黑體" w:cs="BiauKai" w:eastAsia="微軟正黑體"/>
        </w:rPr>
        <w:t>分制，前七分鐘不停錶，最後一分鐘依規則停開錶。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二) 本比賽決賽採取</w:t>
      </w:r>
      <w:r>
        <w:rPr>
          <w:rFonts w:eastAsia="微軟正黑體" w:cs="BiauKai" w:ascii="微軟正黑體" w:hAnsi="微軟正黑體"/>
        </w:rPr>
        <w:t>10</w:t>
      </w:r>
      <w:r>
        <w:rPr>
          <w:rFonts w:ascii="微軟正黑體" w:hAnsi="微軟正黑體" w:cs="BiauKai" w:eastAsia="微軟正黑體"/>
        </w:rPr>
        <w:t>分鐘</w:t>
      </w:r>
      <w:r>
        <w:rPr>
          <w:rFonts w:eastAsia="微軟正黑體" w:cs="BiauKai" w:ascii="微軟正黑體" w:hAnsi="微軟正黑體"/>
        </w:rPr>
        <w:t>13</w:t>
      </w:r>
      <w:r>
        <w:rPr>
          <w:rFonts w:ascii="微軟正黑體" w:hAnsi="微軟正黑體" w:cs="BiauKai" w:eastAsia="微軟正黑體"/>
        </w:rPr>
        <w:t>分制，前九分鐘不停錶，最後一分鐘依規則停開錶。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三) 其餘規則於比賽當天開幕典禮公布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</w:rPr>
        <w:t xml:space="preserve">    (</w:t>
      </w:r>
      <w:r>
        <w:rPr>
          <w:rStyle w:val="Style8"/>
          <w:rFonts w:ascii="微軟正黑體" w:hAnsi="微軟正黑體" w:cs="BiauKai" w:eastAsia="微軟正黑體"/>
        </w:rPr>
        <w:t>四) 如有跨隊參賽，經舉發查證後，</w:t>
      </w:r>
      <w:r>
        <w:rPr>
          <w:rStyle w:val="Style8"/>
          <w:rFonts w:ascii="微軟正黑體" w:hAnsi="微軟正黑體" w:cs="BiauKai" w:eastAsia="微軟正黑體"/>
          <w:u w:val="single"/>
        </w:rPr>
        <w:t>本隊及跨隊隊伍均取消參賽資格</w:t>
      </w:r>
      <w:r>
        <w:rPr>
          <w:rStyle w:val="Style8"/>
          <w:rFonts w:ascii="微軟正黑體" w:hAnsi="微軟正黑體" w:cs="BiauKai" w:eastAsia="微軟正黑體"/>
        </w:rPr>
        <w:t>。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</w:rPr>
        <w:t xml:space="preserve">    (</w:t>
      </w:r>
      <w:r>
        <w:rPr>
          <w:rStyle w:val="Style8"/>
          <w:rFonts w:ascii="微軟正黑體" w:hAnsi="微軟正黑體" w:cs="BiauKai" w:eastAsia="微軟正黑體"/>
        </w:rPr>
        <w:t>五) 各組</w:t>
      </w:r>
      <w:r>
        <w:rPr>
          <w:rStyle w:val="Style8"/>
          <w:rFonts w:ascii="微軟正黑體" w:hAnsi="微軟正黑體" w:eastAsia="微軟正黑體"/>
        </w:rPr>
        <w:t>不足</w:t>
      </w:r>
      <w:r>
        <w:rPr>
          <w:rStyle w:val="Style8"/>
          <w:rFonts w:eastAsia="微軟正黑體" w:ascii="微軟正黑體" w:hAnsi="微軟正黑體"/>
        </w:rPr>
        <w:t>10</w:t>
      </w:r>
      <w:r>
        <w:rPr>
          <w:rStyle w:val="Style8"/>
          <w:rFonts w:ascii="微軟正黑體" w:hAnsi="微軟正黑體" w:eastAsia="微軟正黑體"/>
        </w:rPr>
        <w:t>隊取消該組賽制。（</w:t>
      </w:r>
      <w:r>
        <w:rPr>
          <w:rStyle w:val="Style8"/>
          <w:rFonts w:ascii="微軟正黑體" w:hAnsi="微軟正黑體" w:cs="BiauKai" w:eastAsia="微軟正黑體"/>
        </w:rPr>
        <w:t>大專</w:t>
      </w:r>
      <w:r>
        <w:rPr>
          <w:rStyle w:val="Style8"/>
          <w:rFonts w:ascii="微軟正黑體" w:hAnsi="微軟正黑體" w:eastAsia="微軟正黑體"/>
        </w:rPr>
        <w:t>公教組、社男組若各不足</w:t>
      </w:r>
      <w:r>
        <w:rPr>
          <w:rStyle w:val="Style8"/>
          <w:rFonts w:eastAsia="微軟正黑體" w:ascii="微軟正黑體" w:hAnsi="微軟正黑體"/>
        </w:rPr>
        <w:t>10</w:t>
      </w:r>
      <w:r>
        <w:rPr>
          <w:rStyle w:val="Style8"/>
          <w:rFonts w:ascii="微軟正黑體" w:hAnsi="微軟正黑體" w:eastAsia="微軟正黑體"/>
        </w:rPr>
        <w:t>隊則合併辦理）</w:t>
      </w:r>
      <w:r>
        <w:rPr>
          <w:rStyle w:val="Style8"/>
          <w:rFonts w:ascii="微軟正黑體" w:hAnsi="微軟正黑體" w:cs="BiauKai" w:eastAsia="微軟正黑體"/>
        </w:rPr>
        <w:t xml:space="preserve">          </w:t>
      </w:r>
    </w:p>
    <w:p>
      <w:pPr>
        <w:pStyle w:val="Style15"/>
        <w:spacing w:lineRule="exact" w:line="360"/>
        <w:ind w:left="1920" w:hanging="192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十二、注意事項：</w:t>
      </w:r>
    </w:p>
    <w:p>
      <w:pPr>
        <w:pStyle w:val="Style15"/>
        <w:spacing w:lineRule="exact" w:line="3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一)參賽球員於</w:t>
      </w:r>
      <w:r>
        <w:rPr>
          <w:rFonts w:eastAsia="微軟正黑體" w:cs="BiauKai" w:ascii="微軟正黑體" w:hAnsi="微軟正黑體"/>
        </w:rPr>
        <w:t>110</w:t>
      </w:r>
      <w:r>
        <w:rPr>
          <w:rFonts w:ascii="微軟正黑體" w:hAnsi="微軟正黑體" w:cs="BiauKai" w:eastAsia="微軟正黑體"/>
        </w:rPr>
        <w:t>年</w:t>
      </w:r>
      <w:r>
        <w:rPr>
          <w:rFonts w:eastAsia="微軟正黑體" w:cs="BiauKai" w:ascii="微軟正黑體" w:hAnsi="微軟正黑體"/>
        </w:rPr>
        <w:t>01</w:t>
      </w:r>
      <w:r>
        <w:rPr>
          <w:rFonts w:ascii="微軟正黑體" w:hAnsi="微軟正黑體" w:cs="BiauKai" w:eastAsia="微軟正黑體"/>
        </w:rPr>
        <w:t>月</w:t>
      </w:r>
      <w:r>
        <w:rPr>
          <w:rFonts w:eastAsia="微軟正黑體" w:cs="BiauKai" w:ascii="微軟正黑體" w:hAnsi="微軟正黑體"/>
        </w:rPr>
        <w:t>31</w:t>
      </w:r>
      <w:r>
        <w:rPr>
          <w:rFonts w:ascii="微軟正黑體" w:hAnsi="微軟正黑體" w:cs="BiauKai" w:eastAsia="微軟正黑體"/>
        </w:rPr>
        <w:t>日上午</w:t>
      </w:r>
      <w:r>
        <w:rPr>
          <w:rFonts w:eastAsia="微軟正黑體" w:cs="BiauKai" w:ascii="微軟正黑體" w:hAnsi="微軟正黑體"/>
        </w:rPr>
        <w:t>07</w:t>
      </w:r>
      <w:r>
        <w:rPr>
          <w:rFonts w:ascii="微軟正黑體" w:hAnsi="微軟正黑體" w:cs="BiauKai" w:eastAsia="微軟正黑體"/>
        </w:rPr>
        <w:t>：</w:t>
      </w:r>
      <w:r>
        <w:rPr>
          <w:rFonts w:eastAsia="微軟正黑體" w:cs="BiauKai" w:ascii="微軟正黑體" w:hAnsi="微軟正黑體"/>
        </w:rPr>
        <w:t>40</w:t>
      </w:r>
      <w:r>
        <w:rPr>
          <w:rFonts w:ascii="微軟正黑體" w:hAnsi="微軟正黑體" w:cs="BiauKai" w:eastAsia="微軟正黑體"/>
        </w:rPr>
        <w:t>於麻豆曾文農工籃球場報到。</w:t>
      </w:r>
    </w:p>
    <w:p>
      <w:pPr>
        <w:pStyle w:val="Style15"/>
        <w:tabs>
          <w:tab w:val="left" w:pos="1095" w:leader="none"/>
        </w:tabs>
        <w:spacing w:lineRule="exact" w:line="360"/>
        <w:rPr>
          <w:rFonts w:ascii="微軟正黑體" w:hAnsi="微軟正黑體" w:eastAsia="微軟正黑體" w:cs="BiauKai"/>
        </w:rPr>
      </w:pPr>
      <w:bookmarkStart w:id="0" w:name="_gjdgxs"/>
      <w:bookmarkEnd w:id="0"/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二)除了主辦單位宣布延期，比賽當天不接受任何球隊以其他因素要求退費。</w:t>
      </w:r>
    </w:p>
    <w:p>
      <w:pPr>
        <w:pStyle w:val="Style15"/>
        <w:tabs>
          <w:tab w:val="left" w:pos="-1065" w:leader="none"/>
        </w:tabs>
        <w:spacing w:lineRule="exact" w:line="360"/>
        <w:ind w:left="2160" w:hanging="216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三)開幕典禮定於</w:t>
      </w:r>
      <w:r>
        <w:rPr>
          <w:rFonts w:eastAsia="微軟正黑體" w:cs="BiauKai" w:ascii="微軟正黑體" w:hAnsi="微軟正黑體"/>
        </w:rPr>
        <w:t>08</w:t>
      </w:r>
      <w:r>
        <w:rPr>
          <w:rFonts w:ascii="微軟正黑體" w:hAnsi="微軟正黑體" w:cs="BiauKai" w:eastAsia="微軟正黑體"/>
        </w:rPr>
        <w:t>：</w:t>
      </w:r>
      <w:r>
        <w:rPr>
          <w:rFonts w:eastAsia="微軟正黑體" w:cs="BiauKai" w:ascii="微軟正黑體" w:hAnsi="微軟正黑體"/>
        </w:rPr>
        <w:t>30</w:t>
      </w:r>
      <w:r>
        <w:rPr>
          <w:rFonts w:ascii="微軟正黑體" w:hAnsi="微軟正黑體" w:cs="BiauKai" w:eastAsia="微軟正黑體"/>
        </w:rPr>
        <w:t>在籃球場舉行，請所有球員務必參加。</w:t>
      </w:r>
    </w:p>
    <w:p>
      <w:pPr>
        <w:pStyle w:val="Style15"/>
        <w:tabs>
          <w:tab w:val="left" w:pos="-1305" w:leader="none"/>
        </w:tabs>
        <w:spacing w:lineRule="exact" w:line="360"/>
        <w:ind w:left="2400" w:hanging="2400"/>
        <w:rPr/>
      </w:pPr>
      <w:r>
        <w:rPr>
          <w:rStyle w:val="Style8"/>
          <w:rFonts w:ascii="微軟正黑體" w:hAnsi="微軟正黑體" w:cs="BiauKai" w:eastAsia="微軟正黑體"/>
        </w:rPr>
        <w:t xml:space="preserve">    (</w:t>
      </w:r>
      <w:r>
        <w:rPr>
          <w:rStyle w:val="Style8"/>
          <w:rFonts w:ascii="微軟正黑體" w:hAnsi="微軟正黑體" w:cs="BiauKai" w:eastAsia="微軟正黑體"/>
        </w:rPr>
        <w:t>四)對球員資格有異議，需於</w:t>
      </w:r>
      <w:r>
        <w:rPr>
          <w:rStyle w:val="Style8"/>
          <w:rFonts w:ascii="微軟正黑體" w:hAnsi="微軟正黑體" w:cs="BiauKai" w:eastAsia="微軟正黑體"/>
          <w:b/>
          <w:u w:val="single"/>
        </w:rPr>
        <w:t>賽前</w:t>
      </w:r>
      <w:r>
        <w:rPr>
          <w:rStyle w:val="Style8"/>
          <w:rFonts w:ascii="微軟正黑體" w:hAnsi="微軟正黑體" w:cs="BiauKai" w:eastAsia="微軟正黑體"/>
        </w:rPr>
        <w:t>向裁判提出檢查資格之要求，</w:t>
      </w:r>
      <w:r>
        <w:rPr>
          <w:rStyle w:val="Style8"/>
          <w:rFonts w:ascii="微軟正黑體" w:hAnsi="微軟正黑體" w:cs="BiauKai" w:eastAsia="微軟正黑體"/>
          <w:b/>
          <w:u w:val="single"/>
        </w:rPr>
        <w:t>開賽後不予受理</w:t>
      </w:r>
      <w:r>
        <w:rPr>
          <w:rStyle w:val="Style8"/>
          <w:rFonts w:ascii="微軟正黑體" w:hAnsi="微軟正黑體" w:cs="BiauKai" w:eastAsia="微軟正黑體"/>
        </w:rPr>
        <w:t>。</w:t>
      </w:r>
    </w:p>
    <w:p>
      <w:pPr>
        <w:pStyle w:val="Style15"/>
        <w:tabs>
          <w:tab w:val="left" w:pos="-1305" w:leader="none"/>
        </w:tabs>
        <w:spacing w:lineRule="exact" w:line="360"/>
        <w:ind w:left="2400" w:hanging="240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      </w:t>
      </w:r>
      <w:r>
        <w:rPr>
          <w:rFonts w:ascii="微軟正黑體" w:hAnsi="微軟正黑體" w:cs="BiauKai" w:eastAsia="微軟正黑體"/>
        </w:rPr>
        <w:t>大會保有隨時查驗的權利。</w:t>
      </w:r>
    </w:p>
    <w:p>
      <w:pPr>
        <w:pStyle w:val="Style15"/>
        <w:tabs>
          <w:tab w:val="left" w:pos="-1185" w:leader="none"/>
        </w:tabs>
        <w:spacing w:lineRule="exact" w:line="360"/>
        <w:ind w:left="2280" w:hanging="228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五)參賽球員請攜帶證件以備查證。（詳閱競賽規程第七條）</w:t>
      </w:r>
    </w:p>
    <w:p>
      <w:pPr>
        <w:pStyle w:val="Style15"/>
        <w:tabs>
          <w:tab w:val="left" w:pos="-1185" w:leader="none"/>
        </w:tabs>
        <w:spacing w:lineRule="exact" w:line="360"/>
        <w:ind w:left="2280" w:hanging="228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 xml:space="preserve">    (</w:t>
      </w:r>
      <w:r>
        <w:rPr>
          <w:rFonts w:ascii="微軟正黑體" w:hAnsi="微軟正黑體" w:cs="BiauKai" w:eastAsia="微軟正黑體"/>
        </w:rPr>
        <w:t>六)如因天氣因素無法比賽，台南市東興國小將在網頁上公告最新訊息。</w:t>
      </w:r>
    </w:p>
    <w:p>
      <w:pPr>
        <w:pStyle w:val="Style15"/>
        <w:tabs>
          <w:tab w:val="left" w:pos="-1185" w:leader="none"/>
        </w:tabs>
        <w:spacing w:lineRule="exact" w:line="360"/>
        <w:ind w:left="2280" w:hanging="2280"/>
        <w:rPr>
          <w:rFonts w:ascii="微軟正黑體" w:hAnsi="微軟正黑體" w:eastAsia="微軟正黑體" w:cs="BiauKai"/>
        </w:rPr>
      </w:pPr>
      <w:r>
        <w:rPr>
          <w:rFonts w:ascii="微軟正黑體" w:hAnsi="微軟正黑體" w:cs="BiauKai" w:eastAsia="微軟正黑體"/>
        </w:rPr>
        <w:t>十三、比賽當天大會投保場地意外險並提供基本醫療用品。</w:t>
      </w:r>
    </w:p>
    <w:p>
      <w:pPr>
        <w:pStyle w:val="Style15"/>
        <w:spacing w:lineRule="exact" w:line="360"/>
        <w:rPr/>
      </w:pPr>
      <w:r>
        <w:rPr>
          <w:rStyle w:val="Style8"/>
          <w:rFonts w:ascii="微軟正黑體" w:hAnsi="微軟正黑體" w:cs="BiauKai" w:eastAsia="微軟正黑體"/>
        </w:rPr>
        <w:t>十四、本競賽規程如有未盡事宜，得由大會隨時修正公佈之。</w:t>
      </w:r>
    </w:p>
    <w:sectPr>
      <w:type w:val="nextPage"/>
      <w:pgSz w:w="11906" w:h="16838"/>
      <w:pgMar w:left="567" w:right="567" w:header="0" w:top="238" w:footer="0" w:bottom="24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Georgia">
    <w:charset w:val="88"/>
    <w:family w:val="roman"/>
    <w:pitch w:val="variable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4"/>
        <w:szCs w:val="24"/>
        <w:lang w:val="en-US" w:eastAsia="zh-TW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5"/>
    <w:next w:val="Style15"/>
    <w:qFormat/>
    <w:pPr>
      <w:keepNext/>
      <w:keepLines/>
      <w:numPr>
        <w:ilvl w:val="0"/>
        <w:numId w:val="1"/>
      </w:numPr>
      <w:suppressAutoHyphens w:val="true"/>
      <w:spacing w:before="480" w:after="120"/>
      <w:outlineLvl w:val="0"/>
      <w:outlineLvl w:val="0"/>
    </w:pPr>
    <w:rPr>
      <w:b/>
      <w:sz w:val="48"/>
      <w:szCs w:val="48"/>
    </w:rPr>
  </w:style>
  <w:style w:type="paragraph" w:styleId="2">
    <w:name w:val="Heading 2"/>
    <w:basedOn w:val="Style15"/>
    <w:next w:val="Style15"/>
    <w:qFormat/>
    <w:pPr>
      <w:keepNext/>
      <w:keepLines/>
      <w:numPr>
        <w:ilvl w:val="1"/>
        <w:numId w:val="1"/>
      </w:numPr>
      <w:suppressAutoHyphens w:val="true"/>
      <w:spacing w:before="360" w:after="80"/>
      <w:outlineLvl w:val="1"/>
      <w:outlineLvl w:val="1"/>
    </w:pPr>
    <w:rPr>
      <w:b/>
      <w:sz w:val="36"/>
      <w:szCs w:val="36"/>
    </w:rPr>
  </w:style>
  <w:style w:type="paragraph" w:styleId="3">
    <w:name w:val="Heading 3"/>
    <w:basedOn w:val="Style15"/>
    <w:next w:val="Style15"/>
    <w:qFormat/>
    <w:pPr>
      <w:keepNext/>
      <w:keepLines/>
      <w:numPr>
        <w:ilvl w:val="2"/>
        <w:numId w:val="1"/>
      </w:numPr>
      <w:suppressAutoHyphens w:val="true"/>
      <w:spacing w:before="280" w:after="80"/>
      <w:outlineLvl w:val="2"/>
      <w:outlineLvl w:val="2"/>
    </w:pPr>
    <w:rPr>
      <w:b/>
      <w:sz w:val="28"/>
      <w:szCs w:val="28"/>
    </w:rPr>
  </w:style>
  <w:style w:type="paragraph" w:styleId="4">
    <w:name w:val="Heading 4"/>
    <w:basedOn w:val="Style15"/>
    <w:next w:val="Style15"/>
    <w:qFormat/>
    <w:pPr>
      <w:keepNext/>
      <w:keepLines/>
      <w:numPr>
        <w:ilvl w:val="3"/>
        <w:numId w:val="1"/>
      </w:numPr>
      <w:suppressAutoHyphens w:val="true"/>
      <w:spacing w:before="240" w:after="40"/>
      <w:outlineLvl w:val="3"/>
      <w:outlineLvl w:val="3"/>
    </w:pPr>
    <w:rPr>
      <w:b/>
    </w:rPr>
  </w:style>
  <w:style w:type="paragraph" w:styleId="5">
    <w:name w:val="Heading 5"/>
    <w:basedOn w:val="Style15"/>
    <w:next w:val="Style15"/>
    <w:qFormat/>
    <w:pPr>
      <w:keepNext/>
      <w:keepLines/>
      <w:numPr>
        <w:ilvl w:val="4"/>
        <w:numId w:val="1"/>
      </w:numPr>
      <w:suppressAutoHyphens w:val="true"/>
      <w:spacing w:before="220" w:after="40"/>
      <w:outlineLvl w:val="4"/>
      <w:outlineLvl w:val="4"/>
    </w:pPr>
    <w:rPr>
      <w:b/>
      <w:sz w:val="22"/>
      <w:szCs w:val="22"/>
    </w:rPr>
  </w:style>
  <w:style w:type="paragraph" w:styleId="6">
    <w:name w:val="Heading 6"/>
    <w:basedOn w:val="Style15"/>
    <w:next w:val="Style15"/>
    <w:qFormat/>
    <w:pPr>
      <w:keepNext/>
      <w:keepLines/>
      <w:numPr>
        <w:ilvl w:val="5"/>
        <w:numId w:val="1"/>
      </w:numPr>
      <w:suppressAutoHyphens w:val="true"/>
      <w:spacing w:before="200" w:after="40"/>
      <w:outlineLvl w:val="5"/>
      <w:outlineLvl w:val="5"/>
    </w:pPr>
    <w:rPr>
      <w:b/>
      <w:sz w:val="20"/>
      <w:szCs w:val="20"/>
    </w:rPr>
  </w:style>
  <w:style w:type="character" w:styleId="Style8">
    <w:name w:val="預設段落字型"/>
    <w:qFormat/>
    <w:rPr/>
  </w:style>
  <w:style w:type="character" w:styleId="Style9">
    <w:name w:val="頁首 字元"/>
    <w:basedOn w:val="Style8"/>
    <w:qFormat/>
    <w:rPr>
      <w:sz w:val="20"/>
      <w:szCs w:val="20"/>
    </w:rPr>
  </w:style>
  <w:style w:type="character" w:styleId="Style10">
    <w:name w:val="頁尾 字元"/>
    <w:basedOn w:val="Style8"/>
    <w:qFormat/>
    <w:rPr>
      <w:sz w:val="20"/>
      <w:szCs w:val="20"/>
    </w:rPr>
  </w:style>
  <w:style w:type="character" w:styleId="Style11">
    <w:name w:val="超連結"/>
    <w:basedOn w:val="Style8"/>
    <w:qFormat/>
    <w:rPr>
      <w:color w:val="0000FF"/>
      <w:u w:val="single"/>
    </w:rPr>
  </w:style>
  <w:style w:type="character" w:styleId="Style12">
    <w:name w:val="已查閱的超連結"/>
    <w:basedOn w:val="Style8"/>
    <w:qFormat/>
    <w:rPr>
      <w:color w:val="800080"/>
      <w:u w:val="single"/>
    </w:rPr>
  </w:style>
  <w:style w:type="character" w:styleId="Style13">
    <w:name w:val="網際網路連結"/>
    <w:rPr>
      <w:color w:val="000080"/>
      <w:u w:val="single"/>
      <w:lang w:val="zxx" w:eastAsia="zxx" w:bidi="zxx"/>
    </w:rPr>
  </w:style>
  <w:style w:type="paragraph" w:styleId="Style14">
    <w:name w:val="標題"/>
    <w:basedOn w:val="Style15"/>
    <w:next w:val="Style15"/>
    <w:qFormat/>
    <w:pPr>
      <w:keepNext/>
      <w:keepLines/>
      <w:suppressAutoHyphens w:val="true"/>
      <w:spacing w:before="480" w:after="120"/>
    </w:pPr>
    <w:rPr>
      <w:b/>
      <w:sz w:val="72"/>
      <w:szCs w:val="72"/>
    </w:rPr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副標題"/>
    <w:basedOn w:val="Style15"/>
    <w:next w:val="Style15"/>
    <w:qFormat/>
    <w:pPr>
      <w:keepNext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7">
    <w:name w:val="Header"/>
    <w:basedOn w:val="Style15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5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清單段落"/>
    <w:basedOn w:val="Style15"/>
    <w:qFormat/>
    <w:pPr>
      <w:suppressAutoHyphens w:val="true"/>
      <w:ind w:left="480" w:hanging="0"/>
    </w:pPr>
    <w:rPr/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hes.tn.edu.tw/" TargetMode="External"/><Relationship Id="rId3" Type="http://schemas.openxmlformats.org/officeDocument/2006/relationships/hyperlink" Target="https://www.beclass.com/rid=2443ea65fbe83dc2f19b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NDC_ODF_Application_Tools/1.0.2$Windows_X86_64 LibreOffice_project/e7b18eac6983b57cd36244d0d7751dceefe72182</Application>
  <Pages>1</Pages>
  <Words>258</Words>
  <Characters>1472</Characters>
  <CharactersWithSpaces>1727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2020-12-15T02:00:00Z</dcterms:created>
  <dc:creator>pcclassroom_teacher</dc:creator>
  <dc:description/>
  <dc:language>zh-TW</dc:language>
  <cp:lastModifiedBy>Windows 使用者</cp:lastModifiedBy>
  <cp:lastPrinted>2020-11-27T02:57:00Z</cp:lastPrinted>
  <dcterms:modified xsi:type="dcterms:W3CDTF">2020-12-15T02:00:00Z</dcterms:modified>
  <cp:revision>2</cp:revision>
  <dc:subject/>
  <dc:title/>
</cp:coreProperties>
</file>