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MingLiu" w:cs="PMingLiu" w:eastAsia="PMingLiu" w:hAnsi="PMingLiu"/>
          <w:color w:val="006600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color w:val="006600"/>
          <w:sz w:val="28"/>
          <w:szCs w:val="28"/>
          <w:rtl w:val="0"/>
        </w:rPr>
        <w:t xml:space="preserve">附件一：112年度工作報告</w:t>
      </w:r>
    </w:p>
    <w:tbl>
      <w:tblPr>
        <w:tblStyle w:val="Table1"/>
        <w:tblW w:w="9694.0" w:type="dxa"/>
        <w:jc w:val="left"/>
        <w:tblInd w:w="-108.0" w:type="dxa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948"/>
        <w:gridCol w:w="3000"/>
        <w:gridCol w:w="5746"/>
        <w:tblGridChange w:id="0">
          <w:tblGrid>
            <w:gridCol w:w="948"/>
            <w:gridCol w:w="3000"/>
            <w:gridCol w:w="5746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臺南市大灣高中教師會1</w:t>
            </w:r>
            <w:r w:rsidDel="00000000" w:rsidR="00000000" w:rsidRPr="00000000">
              <w:rPr>
                <w:rFonts w:ascii="PMingLiu" w:cs="PMingLiu" w:eastAsia="PMingLiu" w:hAnsi="PMingLiu"/>
                <w:sz w:val="32"/>
                <w:szCs w:val="32"/>
                <w:rtl w:val="0"/>
              </w:rPr>
              <w:t xml:space="preserve">12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年度工作報告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（自1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年1月1日起至1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年12月31日止）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計畫項目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實  施  方  案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一、召開會員大會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定期召開會員大會，必要時召開臨時會員大會。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二、召開理監事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一、執行會員大會決議及業務進行事宜。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二、依章程規定按時召開理監事會議。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三、會籍清查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召開會員大會前辦理會籍清查。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業務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一、協助政府推行政令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凡政府各種政令必須協助推行，以共達成盡人民團體職責。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二、加強各種活動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right="113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一、協助教師辦理各式運動研習活動。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三、加強會員服務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一、參與校務，協助教師維護權益。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財務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推行經費預算及稽查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年度終了及開始編列經費收支（決）算書，經理監事會議審查通過後提經大會通過。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QgrJWHn9Yk9mABSkAgxIlfiRA==">CgMxLjAyCGguZ2pkZ3hzOAByITFfUkQwTHJtb2tOUWpZVDNldHZLY1djNURVdmVLOXgtWA==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