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PMingLiu" w:cs="PMingLiu" w:eastAsia="PMingLiu" w:hAnsi="PMingLiu"/>
          <w:color w:val="006600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color w:val="006600"/>
          <w:sz w:val="28"/>
          <w:szCs w:val="28"/>
          <w:rtl w:val="0"/>
        </w:rPr>
        <w:t xml:space="preserve">附件一：110年度工作報告</w:t>
      </w:r>
    </w:p>
    <w:tbl>
      <w:tblPr>
        <w:tblStyle w:val="Table1"/>
        <w:tblW w:w="9694.0" w:type="dxa"/>
        <w:jc w:val="left"/>
        <w:tblInd w:w="0.0" w:type="dxa"/>
        <w:tblBorders>
          <w:top w:color="ff0000" w:space="0" w:sz="4" w:val="single"/>
          <w:left w:color="ff0000" w:space="0" w:sz="4" w:val="single"/>
          <w:bottom w:color="ff0000" w:space="0" w:sz="4" w:val="single"/>
          <w:right w:color="ff0000" w:space="0" w:sz="4" w:val="single"/>
          <w:insideH w:color="ff0000" w:space="0" w:sz="4" w:val="single"/>
          <w:insideV w:color="ff0000" w:space="0" w:sz="4" w:val="single"/>
        </w:tblBorders>
        <w:tblLayout w:type="fixed"/>
        <w:tblLook w:val="0000"/>
      </w:tblPr>
      <w:tblGrid>
        <w:gridCol w:w="948"/>
        <w:gridCol w:w="3000"/>
        <w:gridCol w:w="5746"/>
        <w:tblGridChange w:id="0">
          <w:tblGrid>
            <w:gridCol w:w="948"/>
            <w:gridCol w:w="3000"/>
            <w:gridCol w:w="5746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臺南市大灣高中教師會1</w:t>
            </w:r>
            <w:r w:rsidDel="00000000" w:rsidR="00000000" w:rsidRPr="00000000">
              <w:rPr>
                <w:rFonts w:ascii="PMingLiu" w:cs="PMingLiu" w:eastAsia="PMingLiu" w:hAnsi="PMingLiu"/>
                <w:sz w:val="32"/>
                <w:szCs w:val="32"/>
                <w:rtl w:val="0"/>
              </w:rPr>
              <w:t xml:space="preserve">10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2"/>
                <w:szCs w:val="32"/>
                <w:rtl w:val="0"/>
              </w:rPr>
              <w:t xml:space="preserve">年度工作報告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（自1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10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年1月1日起至1</w:t>
            </w: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10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6"/>
                <w:szCs w:val="26"/>
                <w:rtl w:val="0"/>
              </w:rPr>
              <w:t xml:space="preserve">年12月31日止）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計畫項目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實  施  方  案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會務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一、召開會員大會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定期召開會員大會，必要時召開臨時會員大會。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二、召開理監事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一、執行會員大會決議及業務進行事宜。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二、依章程規定按時召開理監事會議。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三、會籍清查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召開會員大會前辦理會籍清查。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業務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一、協助政府推行政令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凡政府各種政令必須協助推行，以共達成盡人民團體職責。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二、加強各種活動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right="113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一、協助教師辦理各式運動研習活動。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" w:hanging="2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三、加強會員服務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一、參與校務，協助教師維護權益。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0" w:right="113" w:hanging="560"/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二、其他。</w:t>
            </w:r>
          </w:p>
        </w:tc>
      </w:tr>
      <w:tr>
        <w:trPr>
          <w:cantSplit w:val="0"/>
          <w:trHeight w:val="1407.8571428571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MingLiu" w:cs="PMingLiu" w:eastAsia="PMingLiu" w:hAnsi="PMingLiu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34"/>
                <w:szCs w:val="34"/>
                <w:rtl w:val="0"/>
              </w:rPr>
              <w:t xml:space="preserve">財務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推行經費預算及稽查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PMingLiu" w:cs="PMingLiu" w:eastAsia="PMingLiu" w:hAnsi="PMingLiu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8"/>
                <w:szCs w:val="28"/>
                <w:rtl w:val="0"/>
              </w:rPr>
              <w:t xml:space="preserve">年度終了及開始編列經費收支（決）算書，經理監事會議審查通過後提經大會通過。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0qmrd+fAC20UmNVYa7icf5bMg==">AMUW2mVbZ5rCXqo77zqDp7AqkFr5IPd0thopc0ni2tkZu1eZQwKib7D1ucmH2RT6mj59F6UqoQYcL57ro+h/KaS2aWtusEDqKOlpEZUPvXLUhaacpSBRymr52rofLXa+xmnQRvYibJNa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2019-12-30T02:44:00Z</dcterms:created>
  <dc:creator>Dean Hsu</dc:creator>
</cp:coreProperties>
</file>