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proofErr w:type="gramStart"/>
      <w:r w:rsidR="00296825">
        <w:rPr>
          <w:rFonts w:ascii="標楷體" w:eastAsia="標楷體" w:hAnsi="標楷體"/>
          <w:b/>
          <w:bCs/>
          <w:color w:val="000000" w:themeColor="text1"/>
          <w:sz w:val="32"/>
          <w:szCs w:val="32"/>
        </w:rPr>
        <w:t>臺</w:t>
      </w:r>
      <w:proofErr w:type="gramEnd"/>
      <w:r w:rsidR="00296825">
        <w:rPr>
          <w:rFonts w:ascii="標楷體" w:eastAsia="標楷體" w:hAnsi="標楷體"/>
          <w:b/>
          <w:bCs/>
          <w:color w:val="000000" w:themeColor="text1"/>
          <w:sz w:val="32"/>
          <w:szCs w:val="32"/>
        </w:rPr>
        <w:t>南市</w:t>
      </w:r>
      <w:r w:rsidR="005045F5">
        <w:rPr>
          <w:rFonts w:ascii="標楷體" w:eastAsia="標楷體" w:hAnsi="標楷體"/>
          <w:b/>
          <w:bCs/>
          <w:color w:val="000000" w:themeColor="text1"/>
          <w:sz w:val="32"/>
          <w:szCs w:val="32"/>
        </w:rPr>
        <w:t>東區崇明</w:t>
      </w:r>
      <w:r w:rsidR="00296825">
        <w:rPr>
          <w:rFonts w:ascii="標楷體" w:eastAsia="標楷體" w:hAnsi="標楷體"/>
          <w:b/>
          <w:bCs/>
          <w:color w:val="000000" w:themeColor="text1"/>
          <w:sz w:val="32"/>
          <w:szCs w:val="32"/>
        </w:rPr>
        <w:t>國民小學</w:t>
      </w:r>
      <w:r w:rsidR="000D7E9C" w:rsidRPr="00997A4C">
        <w:rPr>
          <w:rFonts w:ascii="標楷體" w:eastAsia="標楷體" w:hAnsi="標楷體" w:hint="eastAsia"/>
          <w:b/>
          <w:bCs/>
          <w:color w:val="000000" w:themeColor="text1"/>
          <w:sz w:val="32"/>
          <w:szCs w:val="32"/>
        </w:rPr>
        <w:t>設置</w:t>
      </w:r>
      <w:r w:rsidR="000D7E9C" w:rsidRPr="00DB5695">
        <w:rPr>
          <w:rFonts w:ascii="標楷體" w:eastAsia="標楷體" w:hAnsi="標楷體" w:hint="eastAsia"/>
          <w:b/>
          <w:bCs/>
          <w:color w:val="000000" w:themeColor="text1"/>
          <w:sz w:val="32"/>
          <w:szCs w:val="32"/>
        </w:rPr>
        <w:t>太陽光電設施</w:t>
      </w:r>
      <w:r w:rsidR="000D7E9C" w:rsidRPr="00997A4C">
        <w:rPr>
          <w:rFonts w:ascii="標楷體" w:eastAsia="標楷體" w:hAnsi="標楷體" w:hint="eastAsia"/>
          <w:b/>
          <w:bCs/>
          <w:color w:val="000000" w:themeColor="text1"/>
          <w:sz w:val="32"/>
          <w:szCs w:val="32"/>
        </w:rPr>
        <w:t>公</w:t>
      </w:r>
      <w:proofErr w:type="gramStart"/>
      <w:r w:rsidR="000D7E9C" w:rsidRPr="00997A4C">
        <w:rPr>
          <w:rFonts w:ascii="標楷體" w:eastAsia="標楷體" w:hAnsi="標楷體" w:hint="eastAsia"/>
          <w:b/>
          <w:bCs/>
          <w:color w:val="000000" w:themeColor="text1"/>
          <w:sz w:val="32"/>
          <w:szCs w:val="32"/>
        </w:rPr>
        <w:t>開標租案</w:t>
      </w:r>
      <w:proofErr w:type="gramEnd"/>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w:t>
      </w:r>
      <w:r w:rsidR="00AC089C">
        <w:rPr>
          <w:rFonts w:eastAsia="標楷體"/>
          <w:sz w:val="28"/>
          <w:szCs w:val="28"/>
        </w:rPr>
        <w:t>選</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w:t>
      </w:r>
      <w:r w:rsidR="00AC089C">
        <w:rPr>
          <w:rFonts w:eastAsia="標楷體"/>
          <w:sz w:val="28"/>
          <w:szCs w:val="28"/>
        </w:rPr>
        <w:t>選</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proofErr w:type="gramStart"/>
      <w:r w:rsidR="00296825">
        <w:rPr>
          <w:rFonts w:eastAsia="標楷體"/>
          <w:color w:val="0000FF"/>
          <w:sz w:val="28"/>
          <w:szCs w:val="28"/>
        </w:rPr>
        <w:t>臺</w:t>
      </w:r>
      <w:proofErr w:type="gramEnd"/>
      <w:r w:rsidR="00296825">
        <w:rPr>
          <w:rFonts w:eastAsia="標楷體"/>
          <w:color w:val="0000FF"/>
          <w:sz w:val="28"/>
          <w:szCs w:val="28"/>
        </w:rPr>
        <w:t>南市</w:t>
      </w:r>
      <w:r w:rsidR="005045F5">
        <w:rPr>
          <w:rFonts w:eastAsia="標楷體"/>
          <w:color w:val="0000FF"/>
          <w:sz w:val="28"/>
          <w:szCs w:val="28"/>
        </w:rPr>
        <w:t>東區崇明</w:t>
      </w:r>
      <w:r w:rsidR="00296825">
        <w:rPr>
          <w:rFonts w:eastAsia="標楷體"/>
          <w:color w:val="0000FF"/>
          <w:sz w:val="28"/>
          <w:szCs w:val="28"/>
        </w:rPr>
        <w:t>國民小學</w:t>
      </w:r>
      <w:r w:rsidR="000D7E9C" w:rsidRPr="00990551">
        <w:rPr>
          <w:rFonts w:eastAsia="標楷體" w:hint="eastAsia"/>
          <w:color w:val="0000FF"/>
          <w:sz w:val="28"/>
          <w:szCs w:val="28"/>
        </w:rPr>
        <w:t>設置太陽光電設施公</w:t>
      </w:r>
      <w:proofErr w:type="gramStart"/>
      <w:r w:rsidR="000D7E9C" w:rsidRPr="00990551">
        <w:rPr>
          <w:rFonts w:eastAsia="標楷體" w:hint="eastAsia"/>
          <w:color w:val="0000FF"/>
          <w:sz w:val="28"/>
          <w:szCs w:val="28"/>
        </w:rPr>
        <w:t>開標租案</w:t>
      </w:r>
      <w:r w:rsidRPr="00990551">
        <w:rPr>
          <w:rFonts w:eastAsia="標楷體"/>
          <w:color w:val="0000FF"/>
          <w:sz w:val="28"/>
          <w:szCs w:val="28"/>
        </w:rPr>
        <w:t>設</w:t>
      </w:r>
      <w:proofErr w:type="gramEnd"/>
      <w:r w:rsidRPr="00990551">
        <w:rPr>
          <w:rFonts w:eastAsia="標楷體"/>
          <w:color w:val="0000FF"/>
          <w:sz w:val="28"/>
          <w:szCs w:val="28"/>
        </w:rPr>
        <w:t>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w:t>
      </w:r>
      <w:r w:rsidR="00BF5AD7">
        <w:rPr>
          <w:rFonts w:eastAsia="標楷體"/>
          <w:sz w:val="28"/>
          <w:szCs w:val="28"/>
        </w:rPr>
        <w:t>評審</w:t>
      </w:r>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w:t>
      </w:r>
      <w:r w:rsidR="00BF5AD7" w:rsidRPr="0045304F">
        <w:rPr>
          <w:rFonts w:eastAsia="標楷體"/>
          <w:color w:val="0000FF"/>
          <w:sz w:val="28"/>
          <w:szCs w:val="28"/>
        </w:rPr>
        <w:t>評審</w:t>
      </w:r>
      <w:r w:rsidR="0045304F" w:rsidRPr="0045304F">
        <w:rPr>
          <w:rFonts w:eastAsia="標楷體" w:hint="eastAsia"/>
          <w:color w:val="0000FF"/>
          <w:sz w:val="28"/>
          <w:szCs w:val="28"/>
        </w:rPr>
        <w:t>小組</w:t>
      </w:r>
      <w:r>
        <w:rPr>
          <w:rFonts w:eastAsia="標楷體"/>
          <w:sz w:val="28"/>
          <w:szCs w:val="28"/>
        </w:rPr>
        <w:t>，以進行投標廠商設置使用計畫書之</w:t>
      </w:r>
      <w:r w:rsidR="00BF5AD7">
        <w:rPr>
          <w:rFonts w:eastAsia="標楷體"/>
          <w:sz w:val="28"/>
          <w:szCs w:val="28"/>
        </w:rPr>
        <w:t>評審</w:t>
      </w:r>
      <w:r>
        <w:rPr>
          <w:rFonts w:eastAsia="標楷體"/>
          <w:sz w:val="28"/>
          <w:szCs w:val="28"/>
        </w:rPr>
        <w:t>事宜，機關並成立工作小組協助</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辦理</w:t>
      </w:r>
      <w:r w:rsidR="00BF5AD7">
        <w:rPr>
          <w:rFonts w:eastAsia="標楷體"/>
          <w:sz w:val="28"/>
          <w:szCs w:val="28"/>
        </w:rPr>
        <w:t>評審</w:t>
      </w:r>
      <w:r>
        <w:rPr>
          <w:rFonts w:eastAsia="標楷體"/>
          <w:sz w:val="28"/>
          <w:szCs w:val="28"/>
        </w:rPr>
        <w:t>有關之作業。</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sidRPr="00B06B25">
        <w:rPr>
          <w:rFonts w:eastAsia="標楷體"/>
          <w:sz w:val="28"/>
          <w:szCs w:val="28"/>
        </w:rPr>
        <w:t>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廠商未到場簡報，視同放棄簡報及答詢權利，該廠商之「簡報</w:t>
      </w:r>
      <w:r>
        <w:rPr>
          <w:rFonts w:eastAsia="標楷體" w:hint="eastAsia"/>
          <w:sz w:val="28"/>
          <w:szCs w:val="28"/>
        </w:rPr>
        <w:t>與</w:t>
      </w:r>
      <w:r w:rsidR="00224083">
        <w:rPr>
          <w:rFonts w:eastAsia="標楷體"/>
          <w:sz w:val="28"/>
          <w:szCs w:val="28"/>
        </w:rPr>
        <w:t>答詢」</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人（含設備操作及協助人員等），簡報人員需為本案計畫主持人，如計畫主持人因故無法參加簡報時，應由協同主持人或經本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sidRPr="00400EAE">
        <w:rPr>
          <w:rFonts w:eastAsia="標楷體"/>
          <w:color w:val="FF0000"/>
          <w:sz w:val="28"/>
          <w:szCs w:val="28"/>
        </w:rPr>
        <w:t>簡報時間不得超過</w:t>
      </w:r>
      <w:r w:rsidRPr="00400EAE">
        <w:rPr>
          <w:rFonts w:eastAsia="標楷體"/>
          <w:color w:val="FF0000"/>
          <w:sz w:val="28"/>
          <w:szCs w:val="28"/>
        </w:rPr>
        <w:t>15</w:t>
      </w:r>
      <w:r w:rsidRPr="00400EAE">
        <w:rPr>
          <w:rFonts w:eastAsia="標楷體"/>
          <w:color w:val="FF0000"/>
          <w:sz w:val="28"/>
          <w:szCs w:val="28"/>
        </w:rPr>
        <w:t>分鐘</w:t>
      </w:r>
      <w:r>
        <w:rPr>
          <w:rFonts w:eastAsia="標楷體"/>
          <w:sz w:val="28"/>
          <w:szCs w:val="28"/>
        </w:rPr>
        <w:t>，逾時將強制停止簡報，機關工作人員於第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分鐘按鈴二聲結束簡報；本案採統問統答，</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w:t>
      </w:r>
      <w:r w:rsidR="00BF5AD7">
        <w:rPr>
          <w:rFonts w:eastAsia="標楷體"/>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委員辦理序位評比，就個別廠商各</w:t>
      </w:r>
      <w:r w:rsidR="00BF5AD7">
        <w:rPr>
          <w:rFonts w:eastAsia="標楷體"/>
          <w:sz w:val="28"/>
          <w:szCs w:val="28"/>
        </w:rPr>
        <w:t>評審</w:t>
      </w:r>
      <w:r>
        <w:rPr>
          <w:rFonts w:eastAsia="標楷體"/>
          <w:sz w:val="28"/>
          <w:szCs w:val="28"/>
        </w:rPr>
        <w:t>項目分別評分後予以加總，並依加總分數高低轉換為序位。個別廠商之平均總評分（四捨五入取至小數點第二位）未達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分者不得列為優勝廠商及議價對象。若所有廠商平均總評分均未達</w:t>
      </w:r>
      <w:r w:rsidR="00CB4BDE">
        <w:rPr>
          <w:rFonts w:eastAsia="標楷體" w:hint="eastAsia"/>
          <w:sz w:val="28"/>
          <w:szCs w:val="28"/>
        </w:rPr>
        <w:t>75</w:t>
      </w:r>
      <w:r>
        <w:rPr>
          <w:rFonts w:eastAsia="標楷體"/>
          <w:sz w:val="28"/>
          <w:szCs w:val="28"/>
        </w:rPr>
        <w:t>分時，則優勝廠商從缺並廢標。</w:t>
      </w:r>
    </w:p>
    <w:p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分以下，應加註</w:t>
      </w:r>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項目之評分加總轉換為序位後，彙整合計各廠商之序位，以平均總評分在</w:t>
      </w:r>
      <w:r w:rsidR="00CB4BDE">
        <w:rPr>
          <w:rFonts w:eastAsia="標楷體" w:hint="eastAsia"/>
          <w:sz w:val="28"/>
          <w:szCs w:val="28"/>
        </w:rPr>
        <w:t>75</w:t>
      </w:r>
      <w:r w:rsidR="00224083">
        <w:rPr>
          <w:rFonts w:eastAsia="標楷體"/>
          <w:sz w:val="28"/>
          <w:szCs w:val="28"/>
        </w:rPr>
        <w:t>分以上之序位合計值最低廠商為第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w:t>
      </w:r>
      <w:r w:rsidR="00224083">
        <w:rPr>
          <w:rFonts w:eastAsia="標楷體"/>
          <w:sz w:val="28"/>
          <w:szCs w:val="28"/>
        </w:rPr>
        <w:lastRenderedPageBreak/>
        <w:t>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委員評定序位第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r w:rsidR="00224083">
        <w:rPr>
          <w:rFonts w:eastAsia="標楷體"/>
          <w:sz w:val="28"/>
          <w:szCs w:val="28"/>
        </w:rPr>
        <w:t>評分表如附件</w:t>
      </w:r>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委員名單，該名單於開始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設置使用計畫書撰擬重點規定</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sidRPr="003533A9">
              <w:rPr>
                <w:rFonts w:eastAsia="標楷體"/>
                <w:sz w:val="28"/>
                <w:szCs w:val="28"/>
              </w:rPr>
              <w:t>公司基本資料</w:t>
            </w:r>
            <w:r>
              <w:rPr>
                <w:rFonts w:eastAsia="標楷體" w:hint="eastAsia"/>
                <w:sz w:val="28"/>
                <w:szCs w:val="28"/>
              </w:rPr>
              <w:t>及</w:t>
            </w:r>
            <w:r>
              <w:rPr>
                <w:rFonts w:eastAsia="標楷體"/>
                <w:sz w:val="28"/>
                <w:szCs w:val="28"/>
              </w:rPr>
              <w:t>廠商</w:t>
            </w:r>
            <w:r w:rsidRPr="001E38A6">
              <w:rPr>
                <w:rFonts w:eastAsia="標楷體"/>
                <w:sz w:val="28"/>
                <w:szCs w:val="28"/>
              </w:rPr>
              <w:t>10</w:t>
            </w:r>
            <w:r w:rsidRPr="001E38A6">
              <w:rPr>
                <w:rFonts w:eastAsia="標楷體" w:hint="eastAsia"/>
                <w:sz w:val="28"/>
                <w:szCs w:val="28"/>
              </w:rPr>
              <w:t>1</w:t>
            </w:r>
            <w:r>
              <w:rPr>
                <w:rFonts w:eastAsia="標楷體"/>
                <w:sz w:val="28"/>
                <w:szCs w:val="28"/>
              </w:rPr>
              <w:t>年至</w:t>
            </w:r>
            <w:r w:rsidRPr="001E38A6">
              <w:rPr>
                <w:rFonts w:eastAsia="標楷體"/>
                <w:sz w:val="28"/>
                <w:szCs w:val="28"/>
              </w:rPr>
              <w:t>10</w:t>
            </w:r>
            <w:r w:rsidRPr="001E38A6">
              <w:rPr>
                <w:rFonts w:eastAsia="標楷體" w:hint="eastAsia"/>
                <w:sz w:val="28"/>
                <w:szCs w:val="28"/>
              </w:rPr>
              <w:t>7</w:t>
            </w:r>
            <w:r>
              <w:rPr>
                <w:rFonts w:eastAsia="標楷體"/>
                <w:sz w:val="28"/>
                <w:szCs w:val="28"/>
              </w:rPr>
              <w:t>年相關案件履約實績</w:t>
            </w:r>
            <w:r>
              <w:rPr>
                <w:rFonts w:eastAsia="標楷體"/>
                <w:sz w:val="28"/>
                <w:szCs w:val="28"/>
              </w:rPr>
              <w:t>(</w:t>
            </w:r>
            <w:r>
              <w:rPr>
                <w:rFonts w:eastAsia="標楷體" w:hint="eastAsia"/>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F5AD7" w:rsidRDefault="00BF5AD7" w:rsidP="002B0E5B">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hint="eastAsia"/>
                <w:sz w:val="28"/>
              </w:rPr>
              <w:t>。</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興建計畫</w:t>
            </w:r>
            <w:r>
              <w:rPr>
                <w:rFonts w:eastAsia="標楷體"/>
                <w:sz w:val="28"/>
              </w:rPr>
              <w:t>(</w:t>
            </w:r>
            <w:r>
              <w:rPr>
                <w:rFonts w:eastAsia="標楷體" w:hint="eastAsia"/>
                <w:sz w:val="28"/>
              </w:rPr>
              <w:t>1</w:t>
            </w:r>
            <w:r>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Pr>
                <w:rFonts w:eastAsia="標楷體"/>
                <w:sz w:val="28"/>
              </w:rPr>
              <w:t>計畫可行性規劃報告書。</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hint="eastAsia"/>
                <w:sz w:val="28"/>
              </w:rPr>
              <w:t>(</w:t>
            </w:r>
            <w:r>
              <w:rPr>
                <w:rFonts w:eastAsia="標楷體" w:hint="eastAsia"/>
                <w:sz w:val="28"/>
              </w:rPr>
              <w:t>設施線路規劃</w:t>
            </w:r>
            <w:r>
              <w:rPr>
                <w:rFonts w:eastAsia="標楷體" w:hint="eastAsia"/>
                <w:sz w:val="28"/>
              </w:rPr>
              <w:t>)</w:t>
            </w:r>
            <w:r>
              <w:rPr>
                <w:rFonts w:eastAsia="標楷體"/>
                <w:sz w:val="28"/>
              </w:rPr>
              <w:t>。</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F5AD7" w:rsidRPr="00F22064"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BF5AD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1D397B" w:rsidRDefault="00BF5AD7" w:rsidP="002B0E5B">
            <w:pPr>
              <w:autoSpaceDE w:val="0"/>
              <w:spacing w:line="320" w:lineRule="exact"/>
              <w:jc w:val="both"/>
              <w:textAlignment w:val="auto"/>
              <w:rPr>
                <w:rFonts w:eastAsia="標楷體"/>
                <w:sz w:val="28"/>
                <w:szCs w:val="28"/>
              </w:rPr>
            </w:pPr>
            <w:r w:rsidRPr="001D397B">
              <w:rPr>
                <w:rFonts w:eastAsia="標楷體" w:hint="eastAsia"/>
                <w:sz w:val="28"/>
                <w:szCs w:val="28"/>
              </w:rPr>
              <w:t>工法</w:t>
            </w:r>
            <w:r w:rsidRPr="001D397B">
              <w:rPr>
                <w:rFonts w:eastAsia="標楷體" w:hint="eastAsia"/>
                <w:sz w:val="28"/>
                <w:szCs w:val="28"/>
              </w:rPr>
              <w:t>(</w:t>
            </w:r>
            <w:r w:rsidR="00676EBA">
              <w:rPr>
                <w:rFonts w:eastAsia="標楷體" w:hint="eastAsia"/>
                <w:sz w:val="28"/>
                <w:szCs w:val="28"/>
              </w:rPr>
              <w:t>2</w:t>
            </w:r>
            <w:r w:rsidRPr="001D397B">
              <w:rPr>
                <w:rFonts w:eastAsia="標楷體"/>
                <w:sz w:val="28"/>
                <w:szCs w:val="28"/>
              </w:rPr>
              <w:t>5%</w:t>
            </w:r>
            <w:r w:rsidRPr="001D397B">
              <w:rPr>
                <w:rFonts w:eastAsia="標楷體" w:hint="eastAsia"/>
                <w:sz w:val="28"/>
                <w:szCs w:val="28"/>
              </w:rPr>
              <w:t>)</w:t>
            </w:r>
          </w:p>
          <w:p w:rsidR="00BF5AD7" w:rsidRDefault="00BF5AD7" w:rsidP="002B0E5B">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太陽光電設施</w:t>
            </w:r>
            <w:r w:rsidR="00676EBA">
              <w:rPr>
                <w:rFonts w:eastAsia="標楷體" w:hint="eastAsia"/>
                <w:sz w:val="28"/>
                <w:szCs w:val="28"/>
              </w:rPr>
              <w:t>15</w:t>
            </w:r>
            <w:bookmarkStart w:id="0" w:name="_GoBack"/>
            <w:bookmarkEnd w:id="0"/>
            <w:r w:rsidRPr="001D397B">
              <w:rPr>
                <w:rFonts w:eastAsia="標楷體"/>
                <w:sz w:val="28"/>
                <w:szCs w:val="28"/>
              </w:rPr>
              <w:t>分</w:t>
            </w:r>
          </w:p>
          <w:p w:rsidR="00BF5AD7" w:rsidRPr="001D397B" w:rsidRDefault="00BF5AD7" w:rsidP="003A1941">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結構物及</w:t>
            </w:r>
            <w:r w:rsidR="001D3807">
              <w:rPr>
                <w:rFonts w:eastAsia="標楷體" w:hint="eastAsia"/>
                <w:sz w:val="28"/>
                <w:szCs w:val="28"/>
              </w:rPr>
              <w:t>鍍鋅鋼板</w:t>
            </w:r>
            <w:r w:rsidR="003A1941">
              <w:rPr>
                <w:rFonts w:eastAsia="標楷體" w:hint="eastAsia"/>
                <w:sz w:val="28"/>
                <w:szCs w:val="28"/>
              </w:rPr>
              <w:t>等</w:t>
            </w:r>
            <w:r w:rsidRPr="001D397B">
              <w:rPr>
                <w:rFonts w:eastAsia="標楷體" w:hint="eastAsia"/>
                <w:sz w:val="28"/>
                <w:szCs w:val="28"/>
              </w:rPr>
              <w:t>屋頂</w:t>
            </w:r>
            <w:r w:rsidR="00676EBA">
              <w:rPr>
                <w:rFonts w:eastAsia="標楷體" w:hint="eastAsia"/>
                <w:sz w:val="28"/>
                <w:szCs w:val="28"/>
              </w:rPr>
              <w:t>10</w:t>
            </w:r>
            <w:r w:rsidRPr="001D397B">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1"/>
              </w:numPr>
              <w:tabs>
                <w:tab w:val="left" w:pos="-1745"/>
              </w:tabs>
              <w:snapToGrid w:val="0"/>
              <w:spacing w:line="240" w:lineRule="auto"/>
              <w:jc w:val="both"/>
              <w:rPr>
                <w:rFonts w:eastAsia="標楷體"/>
                <w:sz w:val="28"/>
              </w:rPr>
            </w:pPr>
            <w:r w:rsidRPr="001D397B">
              <w:rPr>
                <w:rFonts w:eastAsia="標楷體" w:hint="eastAsia"/>
                <w:sz w:val="28"/>
                <w:szCs w:val="28"/>
              </w:rPr>
              <w:t>太陽光電設施</w:t>
            </w:r>
            <w:r>
              <w:rPr>
                <w:rFonts w:eastAsia="標楷體" w:hint="eastAsia"/>
                <w:sz w:val="28"/>
                <w:szCs w:val="28"/>
              </w:rPr>
              <w:t>之</w:t>
            </w:r>
            <w:r w:rsidRPr="00C77E00">
              <w:rPr>
                <w:rFonts w:eastAsia="標楷體" w:hint="eastAsia"/>
                <w:sz w:val="28"/>
              </w:rPr>
              <w:t>設計及工法</w:t>
            </w:r>
          </w:p>
          <w:p w:rsidR="00BF5AD7" w:rsidRPr="00BF5AD7" w:rsidRDefault="00BF5AD7" w:rsidP="002B0E5B">
            <w:pPr>
              <w:numPr>
                <w:ilvl w:val="0"/>
                <w:numId w:val="11"/>
              </w:numPr>
              <w:tabs>
                <w:tab w:val="left" w:pos="-1745"/>
              </w:tabs>
              <w:snapToGrid w:val="0"/>
              <w:spacing w:line="240" w:lineRule="auto"/>
              <w:jc w:val="both"/>
              <w:rPr>
                <w:rFonts w:eastAsia="標楷體"/>
                <w:b/>
                <w:sz w:val="28"/>
              </w:rPr>
            </w:pPr>
            <w:r w:rsidRPr="001D397B">
              <w:rPr>
                <w:rFonts w:eastAsia="標楷體" w:hint="eastAsia"/>
                <w:sz w:val="28"/>
                <w:szCs w:val="28"/>
              </w:rPr>
              <w:t>結構物及</w:t>
            </w:r>
            <w:r w:rsidR="001D3807">
              <w:rPr>
                <w:rFonts w:eastAsia="標楷體" w:hint="eastAsia"/>
                <w:sz w:val="28"/>
                <w:szCs w:val="28"/>
              </w:rPr>
              <w:t>鍍鋅鋼板等</w:t>
            </w:r>
            <w:r>
              <w:rPr>
                <w:rFonts w:eastAsia="標楷體" w:hint="eastAsia"/>
                <w:sz w:val="28"/>
                <w:szCs w:val="28"/>
              </w:rPr>
              <w:t>之</w:t>
            </w:r>
            <w:r w:rsidRPr="00C77E00">
              <w:rPr>
                <w:rFonts w:eastAsia="標楷體" w:hint="eastAsia"/>
                <w:sz w:val="28"/>
              </w:rPr>
              <w:t>設計及工法</w:t>
            </w:r>
          </w:p>
          <w:p w:rsidR="00BF5AD7"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hint="eastAsia"/>
                <w:sz w:val="28"/>
              </w:rPr>
              <w:t>屋頂型：須</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w:t>
            </w:r>
          </w:p>
          <w:p w:rsidR="00BF5AD7" w:rsidRPr="00C77E00" w:rsidRDefault="00BF5AD7" w:rsidP="003A1941">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w:t>
            </w:r>
            <w:r>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為佳（非強制，但納入評分，請於企劃書敘明是否</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w:t>
            </w:r>
            <w:r w:rsidR="003A1941">
              <w:rPr>
                <w:rFonts w:ascii="標楷體" w:eastAsia="標楷體" w:hAnsi="標楷體" w:hint="eastAsia"/>
                <w:color w:val="000000" w:themeColor="text1"/>
                <w:sz w:val="28"/>
                <w:szCs w:val="28"/>
              </w:rPr>
              <w:t>等</w:t>
            </w:r>
            <w:r w:rsidR="003A1941" w:rsidRPr="00373E63">
              <w:rPr>
                <w:rFonts w:ascii="標楷體" w:eastAsia="標楷體" w:hAnsi="標楷體" w:hint="eastAsia"/>
                <w:color w:val="000000" w:themeColor="text1"/>
                <w:sz w:val="28"/>
                <w:szCs w:val="28"/>
              </w:rPr>
              <w:t>屋頂</w:t>
            </w:r>
            <w:r w:rsidRPr="00C77E00">
              <w:rPr>
                <w:rFonts w:ascii="標楷體" w:eastAsia="標楷體" w:hAnsi="標楷體" w:hint="eastAsia"/>
                <w:b/>
                <w:sz w:val="28"/>
              </w:rPr>
              <w:t>。</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營運計畫</w:t>
            </w:r>
            <w:r>
              <w:rPr>
                <w:rFonts w:eastAsia="標楷體"/>
                <w:sz w:val="28"/>
              </w:rPr>
              <w:t>(1</w:t>
            </w:r>
            <w:r>
              <w:rPr>
                <w:rFonts w:eastAsia="標楷體" w:hint="eastAsia"/>
                <w:sz w:val="28"/>
              </w:rPr>
              <w:t>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營運組織及管理計畫。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設備運轉與維修計畫。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lastRenderedPageBreak/>
              <w:t>安全維護措施。</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品質保證計畫、緊急應變計畫。</w:t>
            </w:r>
          </w:p>
          <w:p w:rsidR="00BF5AD7" w:rsidRPr="001D397B"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結構損壞及漏水保固計畫。</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回饋金百分比</w:t>
            </w:r>
            <w:r>
              <w:rPr>
                <w:rFonts w:eastAsia="標楷體"/>
                <w:sz w:val="28"/>
              </w:rPr>
              <w:t>(</w:t>
            </w:r>
            <w:r>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w:t>
            </w:r>
            <w:r w:rsidRPr="001D397B">
              <w:rPr>
                <w:rFonts w:eastAsia="標楷體"/>
                <w:sz w:val="28"/>
              </w:rPr>
              <w:t>回饋金百分比</w:t>
            </w:r>
            <w:r>
              <w:rPr>
                <w:rFonts w:eastAsia="標楷體"/>
                <w:sz w:val="28"/>
              </w:rPr>
              <w:t>及廠商企畫書內容綜合評分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所提標租系統設置容量評分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回饋及加值服務計畫</w:t>
            </w:r>
            <w:r>
              <w:rPr>
                <w:rFonts w:eastAsia="標楷體"/>
                <w:sz w:val="28"/>
              </w:rPr>
              <w:t>(</w:t>
            </w:r>
            <w:r w:rsidR="00676EBA">
              <w:rPr>
                <w:rFonts w:eastAsia="標楷體" w:hint="eastAsia"/>
                <w:sz w:val="28"/>
              </w:rPr>
              <w:t>1</w:t>
            </w:r>
            <w:r>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hint="eastAsia"/>
                <w:sz w:val="28"/>
              </w:rPr>
              <w:t>；</w:t>
            </w:r>
            <w:r>
              <w:rPr>
                <w:rFonts w:eastAsia="標楷體"/>
                <w:sz w:val="28"/>
              </w:rPr>
              <w:t>計畫內容需與節能減碳、推廣再生能源、設置智慧設施等內容相關。</w:t>
            </w:r>
          </w:p>
        </w:tc>
      </w:tr>
      <w:tr w:rsidR="00BF5AD7"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pPr>
            <w:r>
              <w:rPr>
                <w:rFonts w:eastAsia="標楷體"/>
                <w:sz w:val="28"/>
                <w:szCs w:val="28"/>
              </w:rPr>
              <w:t>簡報與詢答</w:t>
            </w:r>
            <w:r>
              <w:rPr>
                <w:rFonts w:eastAsia="標楷體"/>
                <w:sz w:val="28"/>
                <w:szCs w:val="28"/>
              </w:rPr>
              <w:t>(5</w:t>
            </w:r>
            <w:r>
              <w:rPr>
                <w:rFonts w:eastAsia="標楷體"/>
                <w:sz w:val="28"/>
                <w:szCs w:val="24"/>
              </w:rPr>
              <w:t>%</w:t>
            </w:r>
            <w:r>
              <w:rPr>
                <w:rFonts w:eastAsia="標楷體"/>
                <w:sz w:val="28"/>
                <w:szCs w:val="28"/>
              </w:rPr>
              <w:t>)</w:t>
            </w: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1B592D" w:rsidRDefault="00224083" w:rsidP="00220820">
      <w:pPr>
        <w:widowControl/>
        <w:numPr>
          <w:ilvl w:val="0"/>
          <w:numId w:val="18"/>
        </w:numPr>
        <w:spacing w:line="400" w:lineRule="exact"/>
        <w:ind w:left="1418" w:hanging="710"/>
        <w:jc w:val="both"/>
      </w:pPr>
      <w:r w:rsidRPr="00127044">
        <w:rPr>
          <w:rFonts w:eastAsia="標楷體"/>
          <w:sz w:val="28"/>
          <w:szCs w:val="28"/>
        </w:rPr>
        <w:t>本須知未盡事宜部分，應依招標文件及參採政府採購法及其子法、其他相關法令規定辦理。</w:t>
      </w:r>
    </w:p>
    <w:sectPr w:rsidR="00B7527F" w:rsidRPr="001B592D"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0B3" w:rsidRDefault="000A50B3">
      <w:pPr>
        <w:spacing w:line="240" w:lineRule="auto"/>
      </w:pPr>
      <w:r>
        <w:separator/>
      </w:r>
    </w:p>
  </w:endnote>
  <w:endnote w:type="continuationSeparator" w:id="0">
    <w:p w:rsidR="000A50B3" w:rsidRDefault="000A5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127044">
      <w:rPr>
        <w:rFonts w:eastAsia="標楷體"/>
        <w:noProof/>
      </w:rPr>
      <w:t>4</w:t>
    </w:r>
    <w:r w:rsidR="0010726A">
      <w:rPr>
        <w:rFonts w:eastAsia="標楷體"/>
      </w:rPr>
      <w:fldChar w:fldCharType="end"/>
    </w:r>
    <w:r>
      <w:rPr>
        <w:rFonts w:eastAsia="標楷體"/>
      </w:rPr>
      <w:t>頁</w:t>
    </w:r>
    <w:r>
      <w:rPr>
        <w:rFonts w:eastAsia="標楷體"/>
      </w:rPr>
      <w:t xml:space="preserve">  </w:t>
    </w:r>
    <w:r>
      <w:rPr>
        <w:rFonts w:eastAsia="標楷體"/>
      </w:rPr>
      <w:t>共</w:t>
    </w:r>
    <w:r w:rsidR="00127044">
      <w:rPr>
        <w:rFonts w:eastAsia="標楷體"/>
      </w:rPr>
      <w:t>4</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0B3" w:rsidRDefault="000A50B3">
      <w:pPr>
        <w:spacing w:line="240" w:lineRule="auto"/>
      </w:pPr>
      <w:r>
        <w:rPr>
          <w:color w:val="000000"/>
        </w:rPr>
        <w:separator/>
      </w:r>
    </w:p>
  </w:footnote>
  <w:footnote w:type="continuationSeparator" w:id="0">
    <w:p w:rsidR="000A50B3" w:rsidRDefault="000A50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7F"/>
    <w:rsid w:val="00006EBC"/>
    <w:rsid w:val="000851F2"/>
    <w:rsid w:val="000908DA"/>
    <w:rsid w:val="000A50B3"/>
    <w:rsid w:val="000D36B9"/>
    <w:rsid w:val="000D7E9C"/>
    <w:rsid w:val="001014A6"/>
    <w:rsid w:val="00102C7A"/>
    <w:rsid w:val="0010726A"/>
    <w:rsid w:val="00127044"/>
    <w:rsid w:val="001735FC"/>
    <w:rsid w:val="001804D4"/>
    <w:rsid w:val="00194D2C"/>
    <w:rsid w:val="001A6352"/>
    <w:rsid w:val="001A6A7B"/>
    <w:rsid w:val="001B592D"/>
    <w:rsid w:val="001D3807"/>
    <w:rsid w:val="001D397B"/>
    <w:rsid w:val="001E058B"/>
    <w:rsid w:val="001E38A6"/>
    <w:rsid w:val="00224083"/>
    <w:rsid w:val="002318F5"/>
    <w:rsid w:val="00251FB1"/>
    <w:rsid w:val="002711F0"/>
    <w:rsid w:val="00296825"/>
    <w:rsid w:val="002E4E74"/>
    <w:rsid w:val="002E6B14"/>
    <w:rsid w:val="00322ADD"/>
    <w:rsid w:val="003533A9"/>
    <w:rsid w:val="003577E9"/>
    <w:rsid w:val="00367C6A"/>
    <w:rsid w:val="00370B60"/>
    <w:rsid w:val="003A1941"/>
    <w:rsid w:val="003A3C69"/>
    <w:rsid w:val="003B3F96"/>
    <w:rsid w:val="003E7C53"/>
    <w:rsid w:val="003F5828"/>
    <w:rsid w:val="00400EAE"/>
    <w:rsid w:val="00417568"/>
    <w:rsid w:val="004239B2"/>
    <w:rsid w:val="00425D54"/>
    <w:rsid w:val="00436CE4"/>
    <w:rsid w:val="00437B1C"/>
    <w:rsid w:val="004519C4"/>
    <w:rsid w:val="0045304F"/>
    <w:rsid w:val="00492566"/>
    <w:rsid w:val="004D5687"/>
    <w:rsid w:val="004F1BCD"/>
    <w:rsid w:val="004F2518"/>
    <w:rsid w:val="005045F5"/>
    <w:rsid w:val="0051083B"/>
    <w:rsid w:val="0056718A"/>
    <w:rsid w:val="00592089"/>
    <w:rsid w:val="005A4BCA"/>
    <w:rsid w:val="005C1FCF"/>
    <w:rsid w:val="005D638C"/>
    <w:rsid w:val="00621786"/>
    <w:rsid w:val="00624680"/>
    <w:rsid w:val="00642B5D"/>
    <w:rsid w:val="00657A85"/>
    <w:rsid w:val="006752B9"/>
    <w:rsid w:val="00676EBA"/>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907043"/>
    <w:rsid w:val="00907894"/>
    <w:rsid w:val="00930A14"/>
    <w:rsid w:val="00990551"/>
    <w:rsid w:val="009B2DB0"/>
    <w:rsid w:val="009E67CD"/>
    <w:rsid w:val="00A1081B"/>
    <w:rsid w:val="00A2645A"/>
    <w:rsid w:val="00A27628"/>
    <w:rsid w:val="00A64379"/>
    <w:rsid w:val="00A80DE9"/>
    <w:rsid w:val="00A91ED9"/>
    <w:rsid w:val="00AB2860"/>
    <w:rsid w:val="00AC089C"/>
    <w:rsid w:val="00B06B25"/>
    <w:rsid w:val="00B1420C"/>
    <w:rsid w:val="00B31423"/>
    <w:rsid w:val="00B335A7"/>
    <w:rsid w:val="00B41110"/>
    <w:rsid w:val="00B5369E"/>
    <w:rsid w:val="00B7527F"/>
    <w:rsid w:val="00B76902"/>
    <w:rsid w:val="00B90986"/>
    <w:rsid w:val="00BE6A8A"/>
    <w:rsid w:val="00BF5AD7"/>
    <w:rsid w:val="00C00031"/>
    <w:rsid w:val="00C07182"/>
    <w:rsid w:val="00C233D0"/>
    <w:rsid w:val="00C30BE7"/>
    <w:rsid w:val="00C47F12"/>
    <w:rsid w:val="00C53CA1"/>
    <w:rsid w:val="00C77E00"/>
    <w:rsid w:val="00C8135C"/>
    <w:rsid w:val="00C9439C"/>
    <w:rsid w:val="00CB4BDE"/>
    <w:rsid w:val="00CB69BB"/>
    <w:rsid w:val="00CC42B9"/>
    <w:rsid w:val="00CE4A45"/>
    <w:rsid w:val="00D0789A"/>
    <w:rsid w:val="00D235A6"/>
    <w:rsid w:val="00D53F48"/>
    <w:rsid w:val="00D645AD"/>
    <w:rsid w:val="00DF399D"/>
    <w:rsid w:val="00DF455D"/>
    <w:rsid w:val="00E11D47"/>
    <w:rsid w:val="00E12CE4"/>
    <w:rsid w:val="00E237C5"/>
    <w:rsid w:val="00E5086F"/>
    <w:rsid w:val="00E51C7E"/>
    <w:rsid w:val="00ED7E14"/>
    <w:rsid w:val="00EF687C"/>
    <w:rsid w:val="00F113B7"/>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CC561"/>
  <w15:docId w15:val="{99CE50AB-3D74-4389-B1C1-685E66DE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8022-3F93-4328-8196-00E1D95D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USER</cp:lastModifiedBy>
  <cp:revision>2</cp:revision>
  <cp:lastPrinted>2020-12-03T06:30:00Z</cp:lastPrinted>
  <dcterms:created xsi:type="dcterms:W3CDTF">2021-03-31T09:09:00Z</dcterms:created>
  <dcterms:modified xsi:type="dcterms:W3CDTF">2021-03-31T09:09:00Z</dcterms:modified>
</cp:coreProperties>
</file>